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B9" w:rsidRPr="00F76DE6" w:rsidRDefault="00D263B9" w:rsidP="0010774B">
      <w:pPr>
        <w:ind w:firstLineChars="100" w:firstLine="400"/>
        <w:jc w:val="center"/>
        <w:rPr>
          <w:rFonts w:ascii="標楷體" w:eastAsia="標楷體" w:hAnsi="標楷體"/>
          <w:b/>
          <w:bCs/>
          <w:sz w:val="40"/>
          <w:szCs w:val="40"/>
        </w:rPr>
      </w:pPr>
      <w:r w:rsidRPr="00F76DE6">
        <w:rPr>
          <w:rFonts w:ascii="標楷體" w:eastAsia="標楷體" w:hAnsi="標楷體" w:hint="eastAsia"/>
          <w:b/>
          <w:bCs/>
          <w:sz w:val="40"/>
          <w:szCs w:val="40"/>
        </w:rPr>
        <w:t>出納管理手冊部分規定修正規定</w:t>
      </w:r>
    </w:p>
    <w:p w:rsidR="00D263B9" w:rsidRPr="00F76DE6" w:rsidRDefault="00D263B9" w:rsidP="0010774B">
      <w:pPr>
        <w:spacing w:line="460" w:lineRule="exact"/>
        <w:ind w:left="560" w:hangingChars="200" w:hanging="560"/>
        <w:jc w:val="both"/>
        <w:rPr>
          <w:rFonts w:ascii="標楷體" w:eastAsia="標楷體" w:hAnsi="標楷體"/>
          <w:bCs/>
          <w:color w:val="000000"/>
          <w:sz w:val="28"/>
          <w:szCs w:val="28"/>
        </w:rPr>
      </w:pPr>
      <w:r w:rsidRPr="00F76DE6">
        <w:rPr>
          <w:rFonts w:ascii="標楷體" w:eastAsia="標楷體" w:hAnsi="標楷體" w:hint="eastAsia"/>
          <w:bCs/>
          <w:color w:val="000000"/>
          <w:sz w:val="28"/>
          <w:szCs w:val="28"/>
        </w:rPr>
        <w:t>三、本手冊用詞，定義如下：</w:t>
      </w:r>
    </w:p>
    <w:p w:rsidR="00D263B9" w:rsidRPr="00F76DE6" w:rsidRDefault="00D263B9" w:rsidP="00F06135">
      <w:pPr>
        <w:spacing w:line="460" w:lineRule="exact"/>
        <w:ind w:leftChars="200" w:left="1317" w:rightChars="50" w:right="120"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（一）出納事務：指依法管理現金、票據、</w:t>
      </w:r>
      <w:r w:rsidRPr="00F76DE6">
        <w:rPr>
          <w:rFonts w:ascii="標楷體" w:eastAsia="標楷體" w:hAnsi="標楷體" w:hint="eastAsia"/>
          <w:bCs/>
          <w:sz w:val="28"/>
          <w:szCs w:val="28"/>
        </w:rPr>
        <w:t>有價證券</w:t>
      </w:r>
      <w:r w:rsidRPr="00F76DE6">
        <w:rPr>
          <w:rFonts w:ascii="標楷體" w:eastAsia="標楷體" w:hAnsi="標楷體" w:hint="eastAsia"/>
          <w:color w:val="000000"/>
          <w:sz w:val="28"/>
          <w:szCs w:val="28"/>
        </w:rPr>
        <w:t>與其他保管品等之收付、移轉、保管及帳表之登記、編製等事項。</w:t>
      </w:r>
    </w:p>
    <w:p w:rsidR="00D263B9" w:rsidRPr="00F76DE6" w:rsidRDefault="00D263B9" w:rsidP="00F06135">
      <w:pPr>
        <w:spacing w:line="460" w:lineRule="exact"/>
        <w:ind w:leftChars="200" w:left="1317" w:rightChars="50" w:right="120"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（二）出納管理單位：指管理</w:t>
      </w:r>
      <w:r w:rsidRPr="00F76DE6">
        <w:rPr>
          <w:rFonts w:ascii="標楷體" w:eastAsia="標楷體" w:hAnsi="標楷體" w:hint="eastAsia"/>
          <w:bCs/>
          <w:sz w:val="28"/>
          <w:szCs w:val="28"/>
        </w:rPr>
        <w:t>出納</w:t>
      </w:r>
      <w:r w:rsidRPr="00F76DE6">
        <w:rPr>
          <w:rFonts w:ascii="標楷體" w:eastAsia="標楷體" w:hAnsi="標楷體" w:hint="eastAsia"/>
          <w:color w:val="000000"/>
          <w:sz w:val="28"/>
          <w:szCs w:val="28"/>
        </w:rPr>
        <w:t>事務之單位。</w:t>
      </w:r>
    </w:p>
    <w:p w:rsidR="00D263B9" w:rsidRPr="00F76DE6" w:rsidRDefault="00D263B9" w:rsidP="00F06135">
      <w:pPr>
        <w:spacing w:line="460" w:lineRule="exact"/>
        <w:ind w:leftChars="200" w:left="1317" w:rightChars="50" w:right="120"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（三）出納管理人員：指實際經管出納事務之人員。</w:t>
      </w:r>
    </w:p>
    <w:p w:rsidR="00D263B9" w:rsidRPr="00F76DE6" w:rsidRDefault="00D263B9" w:rsidP="00F06135">
      <w:pPr>
        <w:spacing w:line="460" w:lineRule="exact"/>
        <w:ind w:leftChars="200" w:left="1317" w:rightChars="50" w:right="120"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（四）主辦出納：指綜理、督導、指揮出納管理業務，不實際經管出納管理事務之人員。</w:t>
      </w:r>
    </w:p>
    <w:p w:rsidR="00D263B9" w:rsidRPr="00F76DE6" w:rsidRDefault="00D263B9" w:rsidP="00F06135">
      <w:pPr>
        <w:spacing w:line="460" w:lineRule="exact"/>
        <w:ind w:leftChars="235" w:left="564"/>
        <w:jc w:val="both"/>
        <w:rPr>
          <w:color w:val="000000"/>
          <w:sz w:val="28"/>
          <w:szCs w:val="28"/>
        </w:rPr>
      </w:pPr>
      <w:r w:rsidRPr="00F76DE6">
        <w:rPr>
          <w:rFonts w:ascii="標楷體" w:eastAsia="標楷體" w:hAnsi="標楷體" w:hint="eastAsia"/>
          <w:color w:val="000000"/>
          <w:sz w:val="28"/>
          <w:szCs w:val="28"/>
        </w:rPr>
        <w:t>前項</w:t>
      </w:r>
      <w:r w:rsidRPr="00F76DE6">
        <w:rPr>
          <w:rFonts w:ascii="標楷體" w:eastAsia="標楷體" w:hAnsi="標楷體" w:hint="eastAsia"/>
          <w:bCs/>
          <w:sz w:val="28"/>
          <w:szCs w:val="28"/>
        </w:rPr>
        <w:t>第一</w:t>
      </w:r>
      <w:r w:rsidRPr="00F76DE6">
        <w:rPr>
          <w:rFonts w:ascii="標楷體" w:eastAsia="標楷體" w:hAnsi="標楷體" w:hint="eastAsia"/>
          <w:color w:val="000000"/>
          <w:sz w:val="28"/>
          <w:szCs w:val="28"/>
        </w:rPr>
        <w:t>款所稱其他保管品，如係不動產或須堆棧倉庫保管之動產，應以契據、倉單或其他證明文件代之。</w:t>
      </w:r>
    </w:p>
    <w:p w:rsidR="00D263B9" w:rsidRPr="00F76DE6" w:rsidRDefault="00D263B9" w:rsidP="0010774B">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四、出納管理人員每六年至少職務或工作輪換一次，並貫徹職務代理制度。</w:t>
      </w:r>
    </w:p>
    <w:p w:rsidR="00D263B9" w:rsidRPr="00F76DE6" w:rsidRDefault="00D263B9" w:rsidP="00E663CF">
      <w:pPr>
        <w:kinsoku w:val="0"/>
        <w:overflowPunct w:val="0"/>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五、主辦出納及出納管理人員於職務或工作輪換及機關組織調整時，應辦理交代，並依</w:t>
      </w:r>
      <w:r w:rsidRPr="00F76DE6">
        <w:rPr>
          <w:rFonts w:ascii="標楷體" w:eastAsia="標楷體" w:hAnsi="標楷體" w:hint="eastAsia"/>
          <w:bCs/>
          <w:color w:val="000000"/>
          <w:sz w:val="28"/>
          <w:szCs w:val="28"/>
        </w:rPr>
        <w:t>公務人員交代條例規定辦理監交</w:t>
      </w:r>
      <w:r w:rsidRPr="00F76DE6">
        <w:rPr>
          <w:rFonts w:ascii="標楷體" w:eastAsia="標楷體" w:hAnsi="標楷體" w:hint="eastAsia"/>
          <w:color w:val="000000"/>
          <w:sz w:val="28"/>
          <w:szCs w:val="28"/>
        </w:rPr>
        <w:t>。</w:t>
      </w:r>
    </w:p>
    <w:p w:rsidR="00D263B9" w:rsidRPr="00F76DE6" w:rsidRDefault="00D263B9" w:rsidP="00E663CF">
      <w:pPr>
        <w:kinsoku w:val="0"/>
        <w:overflowPunct w:val="0"/>
        <w:spacing w:line="460" w:lineRule="exact"/>
        <w:ind w:leftChars="200" w:left="480"/>
        <w:jc w:val="both"/>
        <w:rPr>
          <w:rFonts w:ascii="標楷體" w:eastAsia="標楷體" w:hAnsi="標楷體"/>
          <w:sz w:val="28"/>
          <w:szCs w:val="28"/>
        </w:rPr>
      </w:pPr>
      <w:r w:rsidRPr="00F76DE6">
        <w:rPr>
          <w:rFonts w:ascii="標楷體" w:eastAsia="標楷體" w:hAnsi="標楷體" w:hint="eastAsia"/>
          <w:bCs/>
          <w:color w:val="000000"/>
          <w:sz w:val="28"/>
          <w:szCs w:val="28"/>
        </w:rPr>
        <w:t>主辦出納及出納管理</w:t>
      </w:r>
      <w:r w:rsidRPr="00F76DE6">
        <w:rPr>
          <w:rFonts w:ascii="標楷體" w:eastAsia="標楷體" w:hAnsi="標楷體" w:hint="eastAsia"/>
          <w:color w:val="000000"/>
          <w:sz w:val="28"/>
          <w:szCs w:val="28"/>
        </w:rPr>
        <w:t>人員應於後任接替之日起二日內完成交代；必要時，得陳報機關首長核准於十日內交代完畢。</w:t>
      </w:r>
    </w:p>
    <w:p w:rsidR="00D263B9" w:rsidRPr="00F76DE6" w:rsidRDefault="00D263B9" w:rsidP="00F06135">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主辦出納辦理交代，應將綜理、督導、指揮出納事務所用章戳及出納管理人員經管之財物事務總目錄等，連同經辦之未了事項，編造移交清冊交付接任者，並由前、後任主辦出納及監交人員簽章後陳報機關首長。</w:t>
      </w:r>
    </w:p>
    <w:p w:rsidR="00D263B9" w:rsidRPr="00F76DE6" w:rsidRDefault="00D263B9" w:rsidP="00F06135">
      <w:pPr>
        <w:spacing w:line="460" w:lineRule="exact"/>
        <w:ind w:leftChars="200" w:left="480"/>
        <w:jc w:val="both"/>
        <w:rPr>
          <w:rFonts w:ascii="標楷體" w:eastAsia="標楷體" w:hAnsi="標楷體"/>
          <w:sz w:val="28"/>
          <w:szCs w:val="28"/>
        </w:rPr>
      </w:pPr>
      <w:r w:rsidRPr="00F76DE6">
        <w:rPr>
          <w:rFonts w:ascii="標楷體" w:eastAsia="標楷體" w:hAnsi="標楷體" w:hint="eastAsia"/>
          <w:color w:val="000000"/>
          <w:sz w:val="28"/>
          <w:szCs w:val="28"/>
        </w:rPr>
        <w:t>出納管理人員辦理交代，應將經管出納事務所用章戳、文件、帳表與存管之現金、各種票據</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包括支票、匯票、本票及外幣票據等</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、有價證券、自行收納款項收據、支票簿（含空白支票及存根聯）、存摺、存單及其他保管品</w:t>
      </w:r>
      <w:r w:rsidRPr="00F76DE6">
        <w:rPr>
          <w:rFonts w:ascii="標楷體" w:eastAsia="標楷體" w:hAnsi="標楷體" w:hint="eastAsia"/>
          <w:bCs/>
          <w:color w:val="000000"/>
          <w:sz w:val="28"/>
          <w:szCs w:val="28"/>
        </w:rPr>
        <w:t>、</w:t>
      </w:r>
      <w:r w:rsidRPr="00F76DE6">
        <w:rPr>
          <w:rFonts w:ascii="標楷體" w:eastAsia="標楷體" w:hAnsi="標楷體" w:hint="eastAsia"/>
          <w:color w:val="000000"/>
          <w:sz w:val="28"/>
          <w:szCs w:val="28"/>
        </w:rPr>
        <w:t>公有物等，連同經辦之未了事項，編造移交清冊交付接任者，並由前、後任出納管理人員及監交人員簽章後陳報機關首長。</w:t>
      </w:r>
    </w:p>
    <w:p w:rsidR="00D263B9" w:rsidRPr="00F76DE6" w:rsidRDefault="00D263B9" w:rsidP="00E663CF">
      <w:pPr>
        <w:kinsoku w:val="0"/>
        <w:overflowPunct w:val="0"/>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十、出納管理單位主要工作如下：</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（一）點收</w:t>
      </w:r>
      <w:r w:rsidRPr="00F76DE6">
        <w:rPr>
          <w:rFonts w:ascii="標楷體" w:eastAsia="標楷體" w:hAnsi="標楷體" w:hint="eastAsia"/>
          <w:sz w:val="28"/>
          <w:szCs w:val="28"/>
        </w:rPr>
        <w:t>款項</w:t>
      </w:r>
      <w:r w:rsidRPr="00F76DE6">
        <w:rPr>
          <w:rFonts w:ascii="標楷體" w:eastAsia="標楷體" w:hAnsi="標楷體" w:hint="eastAsia"/>
          <w:color w:val="000000"/>
          <w:sz w:val="28"/>
          <w:szCs w:val="28"/>
        </w:rPr>
        <w:t>、票據、有價證券</w:t>
      </w:r>
      <w:r w:rsidRPr="00F76DE6">
        <w:rPr>
          <w:rFonts w:eastAsia="標楷體" w:hint="eastAsia"/>
          <w:color w:val="000000"/>
          <w:sz w:val="28"/>
          <w:szCs w:val="28"/>
        </w:rPr>
        <w:t>及其他保管品</w:t>
      </w:r>
      <w:r w:rsidRPr="00F76DE6">
        <w:rPr>
          <w:rFonts w:ascii="標楷體" w:eastAsia="標楷體" w:hAnsi="標楷體" w:hint="eastAsia"/>
          <w:color w:val="000000"/>
          <w:sz w:val="28"/>
          <w:szCs w:val="28"/>
        </w:rPr>
        <w:t>等，應即填開收據。</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w:t>
      </w:r>
      <w:r w:rsidRPr="00F76DE6">
        <w:rPr>
          <w:rFonts w:ascii="標楷體" w:eastAsia="標楷體" w:hAnsi="標楷體" w:hint="eastAsia"/>
          <w:bCs/>
          <w:color w:val="000000"/>
          <w:sz w:val="28"/>
          <w:szCs w:val="28"/>
        </w:rPr>
        <w:t>保管</w:t>
      </w:r>
      <w:r w:rsidRPr="00F76DE6">
        <w:rPr>
          <w:rFonts w:ascii="標楷體" w:eastAsia="標楷體" w:hAnsi="標楷體" w:hint="eastAsia"/>
          <w:color w:val="000000"/>
          <w:sz w:val="28"/>
          <w:szCs w:val="28"/>
        </w:rPr>
        <w:t>櫃存現金、各種票據、支票簿、存摺、存單、有價證券及其他保管品等。</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（三）按時領取有價證券之本息。</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（四）辦理</w:t>
      </w:r>
      <w:r w:rsidRPr="00F76DE6">
        <w:rPr>
          <w:rFonts w:ascii="標楷體" w:eastAsia="標楷體" w:hAnsi="標楷體" w:hint="eastAsia"/>
          <w:bCs/>
          <w:color w:val="000000"/>
          <w:sz w:val="28"/>
          <w:szCs w:val="28"/>
        </w:rPr>
        <w:t>繳款</w:t>
      </w:r>
      <w:r w:rsidRPr="00F76DE6">
        <w:rPr>
          <w:rFonts w:ascii="標楷體" w:eastAsia="標楷體" w:hAnsi="標楷體" w:hint="eastAsia"/>
          <w:color w:val="000000"/>
          <w:sz w:val="28"/>
          <w:szCs w:val="28"/>
        </w:rPr>
        <w:t>及存款手續。</w:t>
      </w:r>
    </w:p>
    <w:p w:rsidR="00D263B9" w:rsidRPr="00F76DE6" w:rsidRDefault="00D263B9" w:rsidP="00E663CF">
      <w:pPr>
        <w:kinsoku w:val="0"/>
        <w:overflowPunct w:val="0"/>
        <w:autoSpaceDE w:val="0"/>
        <w:autoSpaceDN w:val="0"/>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（五）辦理收入退還、結購外匯、匯寄與收兌款項及員工薪津（劃撥）發放等手續。</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（六）根據</w:t>
      </w:r>
      <w:r w:rsidRPr="00F76DE6">
        <w:rPr>
          <w:rFonts w:ascii="標楷體" w:eastAsia="標楷體" w:hAnsi="標楷體" w:hint="eastAsia"/>
          <w:bCs/>
          <w:color w:val="000000"/>
          <w:sz w:val="28"/>
          <w:szCs w:val="28"/>
        </w:rPr>
        <w:t>會計</w:t>
      </w:r>
      <w:r w:rsidRPr="00F76DE6">
        <w:rPr>
          <w:rFonts w:ascii="標楷體" w:eastAsia="標楷體" w:hAnsi="標楷體" w:hint="eastAsia"/>
          <w:color w:val="000000"/>
          <w:sz w:val="28"/>
          <w:szCs w:val="28"/>
        </w:rPr>
        <w:t>憑證或其他合法通知，扣繳各種稅款、捐款、借支款項、保險費及其他款項等。</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（七）各項押標金、保證金及其他擔保之收付保管及其他收款退款等事項。</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（八）登記各項出納保管簿籍，編製現金結存表，及保管品類報表。</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（九）逐月核對由會計單位收轉（含網路下載）之國庫經辦行或其他金融機構存款及保管品對帳單，是否與帳面結存相符，如有不符之處，應分別編製差額解釋表。</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20" w:hangingChars="300" w:hanging="840"/>
        <w:jc w:val="both"/>
        <w:rPr>
          <w:rFonts w:ascii="標楷體" w:eastAsia="標楷體" w:hAnsi="標楷體"/>
          <w:color w:val="000000"/>
          <w:sz w:val="28"/>
          <w:szCs w:val="28"/>
          <w:shd w:val="pct15" w:color="auto" w:fill="FFFFFF"/>
        </w:rPr>
      </w:pPr>
      <w:r w:rsidRPr="00F76DE6">
        <w:rPr>
          <w:rFonts w:ascii="標楷體" w:eastAsia="標楷體" w:hAnsi="標楷體" w:hint="eastAsia"/>
          <w:color w:val="000000"/>
          <w:sz w:val="28"/>
          <w:szCs w:val="28"/>
        </w:rPr>
        <w:t>（十）透過網路傳送或書面遞送付款憑單、轉帳憑單或領取支票憑證通知受款人領取。</w:t>
      </w:r>
    </w:p>
    <w:p w:rsidR="00D263B9" w:rsidRPr="00F76DE6" w:rsidRDefault="00D263B9" w:rsidP="00F06135">
      <w:pPr>
        <w:pStyle w:val="BodyTextIndent"/>
        <w:spacing w:line="460" w:lineRule="exact"/>
        <w:ind w:leftChars="200" w:left="1600" w:hangingChars="400" w:hanging="1120"/>
        <w:jc w:val="both"/>
        <w:rPr>
          <w:szCs w:val="28"/>
        </w:rPr>
      </w:pPr>
      <w:r w:rsidRPr="00F76DE6">
        <w:rPr>
          <w:rFonts w:hint="eastAsia"/>
          <w:color w:val="000000"/>
          <w:szCs w:val="28"/>
        </w:rPr>
        <w:t>（十一）簽發支票辦理支付時，其支票應由機關首長、主辦會計及主辦出納簽名或蓋章，上述人員得視組織編制情形及業務特性授權代簽人簽名或蓋章；該等人員如有異動，應即辦理印鑑更換。</w:t>
      </w:r>
    </w:p>
    <w:p w:rsidR="00D263B9" w:rsidRPr="00F76DE6" w:rsidRDefault="00D263B9" w:rsidP="0010774B">
      <w:pPr>
        <w:pStyle w:val="PlainText"/>
        <w:spacing w:line="460" w:lineRule="exact"/>
        <w:ind w:left="84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十七、出納管理單位應注意事項如下：</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（一）業務</w:t>
      </w:r>
      <w:r w:rsidRPr="00F76DE6">
        <w:rPr>
          <w:rFonts w:ascii="標楷體" w:eastAsia="標楷體" w:hAnsi="標楷體" w:hint="eastAsia"/>
          <w:sz w:val="28"/>
          <w:szCs w:val="28"/>
        </w:rPr>
        <w:t>無關</w:t>
      </w:r>
      <w:r w:rsidRPr="00F76DE6">
        <w:rPr>
          <w:rFonts w:ascii="標楷體" w:eastAsia="標楷體" w:hAnsi="標楷體" w:hint="eastAsia"/>
          <w:color w:val="000000"/>
          <w:sz w:val="28"/>
          <w:szCs w:val="28"/>
        </w:rPr>
        <w:t>人員不得逗留出納作業處所或翻閱各種公文、帳簿。</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（二）出納管理人員在工作時間，應儘量避免會客。</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（三）出納管理人員言辭應謙虛，態度應溫和。</w:t>
      </w:r>
    </w:p>
    <w:p w:rsidR="00D263B9" w:rsidRPr="00F76DE6" w:rsidRDefault="00D263B9" w:rsidP="00E663CF">
      <w:pPr>
        <w:kinsoku w:val="0"/>
        <w:overflowPunct w:val="0"/>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（四）保險櫃應不定期變更密碼，關閉時，應隨時注意迴轉密碼，關閉上鎖，並應注意妥善保管鑰匙。</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（五）當日收付應於當日結算。</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（六）應儘可能裝置防盜警鈴。</w:t>
      </w:r>
    </w:p>
    <w:p w:rsidR="00D263B9" w:rsidRPr="00F76DE6" w:rsidRDefault="00D263B9" w:rsidP="00F06135">
      <w:pPr>
        <w:spacing w:line="460" w:lineRule="exact"/>
        <w:ind w:leftChars="200" w:left="1317" w:hangingChars="299" w:hanging="837"/>
        <w:jc w:val="both"/>
        <w:rPr>
          <w:color w:val="000000"/>
          <w:sz w:val="28"/>
          <w:szCs w:val="28"/>
        </w:rPr>
      </w:pPr>
      <w:r w:rsidRPr="00F76DE6">
        <w:rPr>
          <w:rFonts w:ascii="標楷體" w:eastAsia="標楷體" w:hAnsi="標楷體" w:hint="eastAsia"/>
          <w:color w:val="000000"/>
          <w:sz w:val="28"/>
          <w:szCs w:val="28"/>
        </w:rPr>
        <w:t>（七）出納管理人員解領款項，應親自辦理，並視需要加派人員協助。</w:t>
      </w:r>
    </w:p>
    <w:p w:rsidR="00D263B9" w:rsidRPr="00F76DE6" w:rsidRDefault="00D263B9" w:rsidP="0010774B">
      <w:pPr>
        <w:spacing w:line="460" w:lineRule="exact"/>
        <w:ind w:left="709" w:hanging="709"/>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十九、收款作業：</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（一）出納管理人員收到會計</w:t>
      </w:r>
      <w:r w:rsidRPr="00F76DE6">
        <w:rPr>
          <w:rFonts w:ascii="標楷體" w:eastAsia="標楷體" w:hAnsi="標楷體" w:hint="eastAsia"/>
          <w:sz w:val="28"/>
          <w:szCs w:val="28"/>
        </w:rPr>
        <w:t>單位</w:t>
      </w:r>
      <w:r w:rsidRPr="00F76DE6">
        <w:rPr>
          <w:rFonts w:ascii="標楷體" w:eastAsia="標楷體" w:hAnsi="標楷體" w:hint="eastAsia"/>
          <w:color w:val="000000"/>
          <w:sz w:val="28"/>
          <w:szCs w:val="28"/>
        </w:rPr>
        <w:t>開具之收入傳票或相關單位之收款通知單，應即通知繳款人繳納。收受時，出納管理人員對收入款項，務須當面清點檢查，並應即填開收據及登記備查簿，如該款項依規定應送存國庫經辦行或其他金融機構者，應填具繳</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存</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款單據，確實依照票據抬頭字樣，在票背完成背書後，如數繳存，並將繳款憑證及收據移送會計單位登帳。</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（二）出納管理人員對依法令規定應收納之款項，得先行收納開立收據，於當日或次日中午前送會計單位補開收入傳票入帳。</w:t>
      </w:r>
    </w:p>
    <w:p w:rsidR="00D263B9" w:rsidRPr="00F76DE6" w:rsidRDefault="00D263B9" w:rsidP="004B7E05">
      <w:pPr>
        <w:kinsoku w:val="0"/>
        <w:overflowPunct w:val="0"/>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（三）收入票據，應審閱發票人或銀行名稱、地點、種類、抬頭、金額、日期、背書等是否與規定相符。</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（四）經辦收入事項，須按照先後次序，編列號碼，並視需要使用號碼憑證</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牌</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發給繳款人，以憑調換正式收訖憑證。</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（五）款項收妥後，即在傳票或繳款單上加蓋收訖日期戳記並由經收人簽章。</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（六）每日結算終了仍有收入款項等，應記入現金暫記簿，次日再補行正式登帳。</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17" w:hangingChars="299" w:hanging="837"/>
        <w:jc w:val="both"/>
        <w:rPr>
          <w:sz w:val="28"/>
          <w:szCs w:val="28"/>
        </w:rPr>
      </w:pPr>
      <w:r w:rsidRPr="00F76DE6">
        <w:rPr>
          <w:rFonts w:ascii="標楷體" w:eastAsia="標楷體" w:hAnsi="標楷體" w:hint="eastAsia"/>
          <w:color w:val="000000"/>
          <w:sz w:val="28"/>
          <w:szCs w:val="28"/>
        </w:rPr>
        <w:t>（七）出納管理人員對收入款項，應隨時按順序登帳。</w:t>
      </w:r>
    </w:p>
    <w:p w:rsidR="00D263B9" w:rsidRPr="00F76DE6" w:rsidRDefault="00D263B9" w:rsidP="0010774B">
      <w:pPr>
        <w:spacing w:line="460" w:lineRule="exact"/>
        <w:ind w:left="992" w:hanging="992"/>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二十一、付款作業：</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（一）實施集中支付之機關，出納管理人員收到會計單位編製之付款憑單，應即透過網路傳送或書面遞送財政部國庫署辦理支付。其屬於受款人自領方式附有「領取支票憑證」者，應即通知受款人前來領取。</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收到會計單位編製之支出傳票，其在國庫經辦行或其他金融機構帳戶存管款項支付者，以匯款方式支付、持有金融憑證透過網際網路或專屬網路轉帳支付，或簽發支票通知受款人前來領取，並及時登記備查簿。</w:t>
      </w:r>
      <w:r w:rsidRPr="00F76DE6">
        <w:rPr>
          <w:rFonts w:ascii="標楷體" w:eastAsia="標楷體" w:hAnsi="標楷體"/>
          <w:color w:val="000000"/>
          <w:sz w:val="28"/>
          <w:szCs w:val="28"/>
        </w:rPr>
        <w:t xml:space="preserve"> </w:t>
      </w:r>
    </w:p>
    <w:p w:rsidR="00D263B9" w:rsidRPr="00F76DE6" w:rsidRDefault="00D263B9" w:rsidP="00E663CF">
      <w:pPr>
        <w:kinsoku w:val="0"/>
        <w:overflowPunct w:val="0"/>
        <w:autoSpaceDE w:val="0"/>
        <w:autoSpaceDN w:val="0"/>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（三）辦理付款時，出納管理單位應依所附憑證核認支付對象及金額，與支出傳票是否逐級核簽完備。如付款時，需取具收據或發票者，應注意符合政府支出憑證處理要點之規定。</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（四）領款人出具之收據、統一發票或收款證明，應於支付後，附於支出傳票之後，並於傳票附件欄註明張數。</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（五）經辦支付事項，須按申請先後辦理。必要時得使用支付號碼憑證，循序辦理手續。</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（六）支付現款時，應詢明申請者之現金數目，並收回支付號碼憑證或其他領款憑證。</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（七）支付現金之數額，應請收款人當面點清。</w:t>
      </w:r>
    </w:p>
    <w:p w:rsidR="00D263B9" w:rsidRPr="00F76DE6" w:rsidRDefault="00D263B9" w:rsidP="004B7E05">
      <w:pPr>
        <w:kinsoku w:val="0"/>
        <w:overflowPunct w:val="0"/>
        <w:autoSpaceDE w:val="0"/>
        <w:autoSpaceDN w:val="0"/>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（八）簽發支票除應依據合法之會計憑證外，並應注意下列事項：</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1.</w:t>
      </w:r>
      <w:r w:rsidRPr="00F76DE6">
        <w:rPr>
          <w:rFonts w:ascii="標楷體" w:eastAsia="標楷體" w:hAnsi="標楷體" w:hint="eastAsia"/>
          <w:color w:val="000000"/>
          <w:sz w:val="28"/>
          <w:szCs w:val="28"/>
        </w:rPr>
        <w:t>存款餘額不足時，不得簽發支票。</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500" w:left="1491" w:hangingChars="104" w:hanging="291"/>
        <w:jc w:val="both"/>
        <w:rPr>
          <w:rFonts w:eastAsia="標楷體"/>
          <w:color w:val="000000"/>
          <w:sz w:val="28"/>
          <w:szCs w:val="28"/>
        </w:rPr>
      </w:pPr>
      <w:r w:rsidRPr="00F76DE6">
        <w:rPr>
          <w:rFonts w:ascii="標楷體" w:eastAsia="標楷體" w:hAnsi="標楷體"/>
          <w:color w:val="000000"/>
          <w:sz w:val="28"/>
          <w:szCs w:val="28"/>
        </w:rPr>
        <w:t>2.</w:t>
      </w:r>
      <w:r w:rsidRPr="00F76DE6">
        <w:rPr>
          <w:rFonts w:eastAsia="標楷體" w:hint="eastAsia"/>
          <w:color w:val="000000"/>
          <w:sz w:val="28"/>
          <w:szCs w:val="28"/>
        </w:rPr>
        <w:t>在存款餘額內支付之款項，除法令另有規定者外，應一律簽發抬頭支票，票面劃平行線二道，並註明禁止背書轉讓。但具備下列條件者，得予註銷平行線二道或禁止背書轉讓：</w:t>
      </w:r>
    </w:p>
    <w:p w:rsidR="00D263B9" w:rsidRPr="00F76DE6" w:rsidRDefault="00D263B9" w:rsidP="00F06135">
      <w:pPr>
        <w:pStyle w:val="PlainText"/>
        <w:spacing w:line="460" w:lineRule="exact"/>
        <w:ind w:leftChars="600" w:left="1944" w:hangingChars="180" w:hanging="504"/>
        <w:jc w:val="both"/>
        <w:rPr>
          <w:rFonts w:ascii="標楷體" w:eastAsia="標楷體" w:hAnsi="標楷體"/>
          <w:color w:val="000000"/>
          <w:sz w:val="28"/>
          <w:szCs w:val="28"/>
        </w:rPr>
      </w:pPr>
      <w:r w:rsidRPr="00F76DE6">
        <w:rPr>
          <w:rFonts w:ascii="標楷體" w:eastAsia="標楷體" w:hAnsi="標楷體"/>
          <w:color w:val="000000"/>
          <w:sz w:val="28"/>
          <w:szCs w:val="28"/>
        </w:rPr>
        <w:t>(1)</w:t>
      </w:r>
      <w:r w:rsidRPr="00F76DE6">
        <w:rPr>
          <w:rFonts w:ascii="標楷體" w:eastAsia="標楷體" w:hAnsi="標楷體" w:hint="eastAsia"/>
          <w:color w:val="000000"/>
          <w:sz w:val="28"/>
          <w:szCs w:val="28"/>
        </w:rPr>
        <w:t>金額在新臺幣五十萬元以下。</w:t>
      </w:r>
    </w:p>
    <w:p w:rsidR="00D263B9" w:rsidRPr="00F76DE6" w:rsidRDefault="00D263B9" w:rsidP="00F06135">
      <w:pPr>
        <w:pStyle w:val="PlainText"/>
        <w:spacing w:line="460" w:lineRule="exact"/>
        <w:ind w:leftChars="600" w:left="1891" w:hangingChars="161" w:hanging="451"/>
        <w:jc w:val="both"/>
        <w:rPr>
          <w:rFonts w:ascii="標楷體" w:eastAsia="標楷體" w:hAnsi="標楷體"/>
          <w:color w:val="000000"/>
          <w:sz w:val="28"/>
          <w:szCs w:val="28"/>
        </w:rPr>
      </w:pPr>
      <w:r w:rsidRPr="00F76DE6">
        <w:rPr>
          <w:rFonts w:ascii="標楷體" w:eastAsia="標楷體" w:hAnsi="標楷體"/>
          <w:color w:val="000000"/>
          <w:sz w:val="28"/>
          <w:szCs w:val="28"/>
        </w:rPr>
        <w:t>(2)</w:t>
      </w:r>
      <w:r w:rsidRPr="00F76DE6">
        <w:rPr>
          <w:rFonts w:ascii="標楷體" w:eastAsia="標楷體" w:hAnsi="標楷體" w:hint="eastAsia"/>
          <w:color w:val="000000"/>
          <w:sz w:val="28"/>
          <w:szCs w:val="28"/>
        </w:rPr>
        <w:t>受款人非屬政府機關或公營事業機構。</w:t>
      </w:r>
    </w:p>
    <w:p w:rsidR="00D263B9" w:rsidRPr="00F76DE6" w:rsidRDefault="00D263B9" w:rsidP="00F06135">
      <w:pPr>
        <w:pStyle w:val="PlainText"/>
        <w:spacing w:line="460" w:lineRule="exact"/>
        <w:ind w:leftChars="600" w:left="1891" w:hangingChars="161" w:hanging="451"/>
        <w:jc w:val="both"/>
        <w:rPr>
          <w:rFonts w:ascii="標楷體" w:eastAsia="標楷體" w:hAnsi="標楷體"/>
          <w:color w:val="000000"/>
          <w:sz w:val="28"/>
          <w:szCs w:val="28"/>
        </w:rPr>
      </w:pPr>
      <w:r w:rsidRPr="00F76DE6">
        <w:rPr>
          <w:rFonts w:ascii="標楷體" w:eastAsia="標楷體" w:hAnsi="標楷體"/>
          <w:color w:val="000000"/>
          <w:sz w:val="28"/>
          <w:szCs w:val="28"/>
        </w:rPr>
        <w:t>(3)</w:t>
      </w:r>
      <w:r w:rsidRPr="00F76DE6">
        <w:rPr>
          <w:rFonts w:ascii="標楷體" w:eastAsia="標楷體" w:hAnsi="標楷體" w:hint="eastAsia"/>
          <w:color w:val="000000"/>
          <w:sz w:val="28"/>
          <w:szCs w:val="28"/>
        </w:rPr>
        <w:t>非採郵寄方式。</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3.</w:t>
      </w:r>
      <w:r w:rsidRPr="00F76DE6">
        <w:rPr>
          <w:rFonts w:ascii="標楷體" w:eastAsia="標楷體" w:hAnsi="標楷體" w:hint="eastAsia"/>
          <w:color w:val="000000"/>
          <w:sz w:val="28"/>
          <w:szCs w:val="28"/>
        </w:rPr>
        <w:t>金額數字應用中文大寫，</w:t>
      </w:r>
      <w:r w:rsidRPr="00F76DE6">
        <w:rPr>
          <w:rFonts w:eastAsia="標楷體" w:hint="eastAsia"/>
          <w:color w:val="000000"/>
          <w:sz w:val="28"/>
          <w:szCs w:val="28"/>
        </w:rPr>
        <w:t>數字</w:t>
      </w:r>
      <w:r w:rsidRPr="00F76DE6">
        <w:rPr>
          <w:rFonts w:ascii="標楷體" w:eastAsia="標楷體" w:hAnsi="標楷體" w:hint="eastAsia"/>
          <w:color w:val="000000"/>
          <w:sz w:val="28"/>
          <w:szCs w:val="28"/>
        </w:rPr>
        <w:t>末尾應加一「整」字。</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4.</w:t>
      </w:r>
      <w:r w:rsidRPr="00F76DE6">
        <w:rPr>
          <w:rFonts w:ascii="標楷體" w:eastAsia="標楷體" w:hAnsi="標楷體" w:hint="eastAsia"/>
          <w:color w:val="000000"/>
          <w:sz w:val="28"/>
          <w:szCs w:val="28"/>
        </w:rPr>
        <w:t>支票金額須同時填寫阿拉伯數字者，應一併填寫，且大小寫金額應相符。</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5.</w:t>
      </w:r>
      <w:r w:rsidRPr="00F76DE6">
        <w:rPr>
          <w:rFonts w:eastAsia="標楷體" w:hint="eastAsia"/>
          <w:color w:val="000000"/>
          <w:sz w:val="28"/>
          <w:szCs w:val="28"/>
        </w:rPr>
        <w:t>支票上應填明發票日期及與付款憑證相符之受款人姓名或公司行號名稱，如係委託金融機構繳交各項稅費款，應於受款人欄位記載「○○銀行</w:t>
      </w:r>
      <w:r w:rsidRPr="00F76DE6">
        <w:rPr>
          <w:rFonts w:eastAsia="標楷體"/>
          <w:color w:val="000000"/>
          <w:sz w:val="28"/>
          <w:szCs w:val="28"/>
        </w:rPr>
        <w:t>(</w:t>
      </w:r>
      <w:r w:rsidRPr="00F76DE6">
        <w:rPr>
          <w:rFonts w:eastAsia="標楷體" w:hint="eastAsia"/>
          <w:color w:val="000000"/>
          <w:sz w:val="28"/>
          <w:szCs w:val="28"/>
        </w:rPr>
        <w:t>繳交○○稅費款</w:t>
      </w:r>
      <w:r w:rsidRPr="00F76DE6">
        <w:rPr>
          <w:rFonts w:eastAsia="標楷體"/>
          <w:color w:val="000000"/>
          <w:sz w:val="28"/>
          <w:szCs w:val="28"/>
        </w:rPr>
        <w:t>)</w:t>
      </w:r>
      <w:r w:rsidRPr="00F76DE6">
        <w:rPr>
          <w:rFonts w:eastAsia="標楷體" w:hint="eastAsia"/>
          <w:color w:val="000000"/>
          <w:sz w:val="28"/>
          <w:szCs w:val="28"/>
        </w:rPr>
        <w:t>」。</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6.</w:t>
      </w:r>
      <w:r w:rsidRPr="00F76DE6">
        <w:rPr>
          <w:rFonts w:ascii="標楷體" w:eastAsia="標楷體" w:hAnsi="標楷體" w:hint="eastAsia"/>
          <w:color w:val="000000"/>
          <w:sz w:val="28"/>
          <w:szCs w:val="28"/>
        </w:rPr>
        <w:t>各機關如規定受款人應於支票存根上簽名或蓋章者，從其規定。</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7.</w:t>
      </w:r>
      <w:r w:rsidRPr="00F76DE6">
        <w:rPr>
          <w:rFonts w:ascii="標楷體" w:eastAsia="標楷體" w:hAnsi="標楷體" w:hint="eastAsia"/>
          <w:sz w:val="28"/>
          <w:szCs w:val="28"/>
        </w:rPr>
        <w:t>簽發支票之號碼帳號等，應於傳票上註明。</w:t>
      </w:r>
    </w:p>
    <w:p w:rsidR="00D263B9" w:rsidRPr="00F76DE6" w:rsidRDefault="00D263B9" w:rsidP="00F06135">
      <w:pPr>
        <w:spacing w:line="460" w:lineRule="exact"/>
        <w:ind w:leftChars="500" w:left="149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8.</w:t>
      </w:r>
      <w:r w:rsidRPr="00F76DE6">
        <w:rPr>
          <w:rFonts w:eastAsia="標楷體" w:hint="eastAsia"/>
          <w:color w:val="000000"/>
          <w:sz w:val="28"/>
          <w:szCs w:val="28"/>
        </w:rPr>
        <w:t>簽發</w:t>
      </w:r>
      <w:r w:rsidRPr="00F76DE6">
        <w:rPr>
          <w:rFonts w:ascii="標楷體" w:eastAsia="標楷體" w:hAnsi="標楷體" w:hint="eastAsia"/>
          <w:color w:val="000000"/>
          <w:sz w:val="28"/>
          <w:szCs w:val="28"/>
        </w:rPr>
        <w:t>支票</w:t>
      </w:r>
      <w:r w:rsidRPr="00F76DE6">
        <w:rPr>
          <w:rFonts w:eastAsia="標楷體" w:hint="eastAsia"/>
          <w:color w:val="000000"/>
          <w:sz w:val="28"/>
          <w:szCs w:val="28"/>
        </w:rPr>
        <w:t>如大小寫金額有錯誤應即作廢，並加蓋「作廢」字樣，重新簽發，不得塗改。其他各要項之記載如有更改，應於更改處簽蓋存款機關全部原留印鑑。</w:t>
      </w:r>
      <w:r w:rsidRPr="00F76DE6">
        <w:rPr>
          <w:rFonts w:ascii="標楷體" w:eastAsia="標楷體" w:hAnsi="標楷體"/>
          <w:color w:val="000000"/>
          <w:sz w:val="28"/>
          <w:szCs w:val="28"/>
        </w:rPr>
        <w:t xml:space="preserve"> </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（九）款項付訖後，經付人員即在傳票或原始憑證黏存單上加蓋付訖日期戳記並簽章。</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w:t>
      </w:r>
      <w:r w:rsidRPr="00F76DE6">
        <w:rPr>
          <w:rFonts w:eastAsia="標楷體" w:hint="eastAsia"/>
          <w:color w:val="000000"/>
          <w:sz w:val="28"/>
          <w:szCs w:val="28"/>
        </w:rPr>
        <w:t>匯寄</w:t>
      </w:r>
      <w:r w:rsidRPr="00F76DE6">
        <w:rPr>
          <w:rFonts w:ascii="標楷體" w:eastAsia="標楷體" w:hAnsi="標楷體" w:hint="eastAsia"/>
          <w:color w:val="000000"/>
          <w:sz w:val="28"/>
          <w:szCs w:val="28"/>
        </w:rPr>
        <w:t>附屬</w:t>
      </w:r>
      <w:r w:rsidRPr="00F76DE6">
        <w:rPr>
          <w:rFonts w:eastAsia="標楷體" w:hint="eastAsia"/>
          <w:color w:val="000000"/>
          <w:sz w:val="28"/>
          <w:szCs w:val="28"/>
        </w:rPr>
        <w:t>單位或其他機關之款項，應斟酌實際情形，分別電匯、信匯或票匯。</w:t>
      </w:r>
      <w:r w:rsidRPr="00F76DE6">
        <w:rPr>
          <w:rFonts w:ascii="標楷體" w:eastAsia="標楷體" w:hAnsi="標楷體"/>
          <w:color w:val="000000"/>
          <w:sz w:val="28"/>
          <w:szCs w:val="28"/>
        </w:rPr>
        <w:t xml:space="preserve"> </w:t>
      </w:r>
    </w:p>
    <w:p w:rsidR="00D263B9" w:rsidRPr="00F76DE6" w:rsidRDefault="00D263B9" w:rsidP="00F06135">
      <w:pPr>
        <w:pStyle w:val="BodyTextIndent"/>
        <w:spacing w:line="460" w:lineRule="exact"/>
        <w:ind w:leftChars="200" w:left="1600" w:hangingChars="400" w:hanging="1120"/>
        <w:jc w:val="both"/>
        <w:rPr>
          <w:color w:val="000000"/>
          <w:szCs w:val="28"/>
        </w:rPr>
      </w:pPr>
      <w:r w:rsidRPr="00F76DE6">
        <w:rPr>
          <w:rFonts w:hint="eastAsia"/>
          <w:color w:val="000000"/>
          <w:szCs w:val="28"/>
        </w:rPr>
        <w:t>（十一）支付款項，須由金融機構匯撥者，支票受款人欄應填載「○○銀行（委託匯款）」，並應依支出傳票記載匯往之金融機構及受款人名稱與帳號，填具匯出匯款委託書或申請書，並加蓋存款機關全部原留印鑑，辦理匯撥，由出納管理單位即日匯出，並將匯款金融機構所掣發之匯款憑證附入原傳票，其屬執行多筆支出傳票之匯款憑證，得逕送會計單位。</w:t>
      </w:r>
      <w:r w:rsidRPr="00F76DE6">
        <w:rPr>
          <w:color w:val="000000"/>
          <w:szCs w:val="28"/>
        </w:rPr>
        <w:t xml:space="preserve"> </w:t>
      </w:r>
    </w:p>
    <w:p w:rsidR="00D263B9" w:rsidRPr="00F76DE6" w:rsidRDefault="00D263B9" w:rsidP="00F06135">
      <w:pPr>
        <w:pStyle w:val="BodyTextIndent"/>
        <w:spacing w:line="460" w:lineRule="exact"/>
        <w:ind w:leftChars="200" w:left="1600" w:hangingChars="400" w:hanging="1120"/>
        <w:jc w:val="both"/>
        <w:rPr>
          <w:color w:val="000000"/>
          <w:szCs w:val="28"/>
        </w:rPr>
      </w:pPr>
      <w:r w:rsidRPr="00F76DE6">
        <w:rPr>
          <w:rFonts w:hint="eastAsia"/>
          <w:color w:val="000000"/>
          <w:szCs w:val="28"/>
        </w:rPr>
        <w:t>（十二）各機關以持有金融憑證透過網際網路或專屬網路轉帳支付者，除應依據合法之會計憑證、所載之金融機構及受款人名稱與帳號等外，並應注意下列事項：</w:t>
      </w:r>
    </w:p>
    <w:p w:rsidR="00D263B9" w:rsidRPr="00F76DE6" w:rsidRDefault="00D263B9" w:rsidP="00F26873">
      <w:pPr>
        <w:spacing w:line="460" w:lineRule="exact"/>
        <w:ind w:leftChars="650" w:left="185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1.</w:t>
      </w:r>
      <w:r w:rsidRPr="00F76DE6">
        <w:rPr>
          <w:rFonts w:ascii="標楷體" w:eastAsia="標楷體" w:hAnsi="標楷體" w:hint="eastAsia"/>
          <w:color w:val="000000"/>
          <w:sz w:val="28"/>
          <w:szCs w:val="28"/>
        </w:rPr>
        <w:t>應與受理之國庫經辦行或其他金融機構簽訂網路</w:t>
      </w:r>
      <w:r w:rsidRPr="00F76DE6">
        <w:rPr>
          <w:rFonts w:eastAsia="標楷體" w:hint="eastAsia"/>
          <w:color w:val="000000"/>
          <w:sz w:val="28"/>
          <w:szCs w:val="28"/>
        </w:rPr>
        <w:t>轉帳</w:t>
      </w:r>
      <w:r w:rsidRPr="00F76DE6">
        <w:rPr>
          <w:rFonts w:ascii="標楷體" w:eastAsia="標楷體" w:hAnsi="標楷體" w:hint="eastAsia"/>
          <w:color w:val="000000"/>
          <w:sz w:val="28"/>
          <w:szCs w:val="28"/>
        </w:rPr>
        <w:t>服務</w:t>
      </w:r>
      <w:r w:rsidRPr="00F76DE6">
        <w:rPr>
          <w:rFonts w:eastAsia="標楷體" w:hint="eastAsia"/>
          <w:color w:val="000000"/>
          <w:sz w:val="28"/>
          <w:szCs w:val="28"/>
        </w:rPr>
        <w:t>契約</w:t>
      </w:r>
      <w:r w:rsidRPr="00F76DE6">
        <w:rPr>
          <w:rFonts w:ascii="標楷體" w:eastAsia="標楷體" w:hAnsi="標楷體" w:hint="eastAsia"/>
          <w:color w:val="000000"/>
          <w:sz w:val="28"/>
          <w:szCs w:val="28"/>
        </w:rPr>
        <w:t>，並約定轉帳交易額度。</w:t>
      </w:r>
    </w:p>
    <w:p w:rsidR="00D263B9" w:rsidRPr="00F76DE6" w:rsidRDefault="00D263B9" w:rsidP="00F26873">
      <w:pPr>
        <w:spacing w:line="460" w:lineRule="exact"/>
        <w:ind w:leftChars="650" w:left="185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2.</w:t>
      </w:r>
      <w:r w:rsidRPr="00F76DE6">
        <w:rPr>
          <w:rFonts w:ascii="標楷體" w:eastAsia="標楷體" w:hAnsi="標楷體" w:hint="eastAsia"/>
          <w:color w:val="000000"/>
          <w:sz w:val="28"/>
          <w:szCs w:val="28"/>
        </w:rPr>
        <w:t>轉帳交易至少應經四層以上之作業控管機制，即編輯、審核、核定及放行；上述各層負責人員，由各機關首長視組織編制情形及業務特性指定或授權代簽人辦理，並依各機關內部控管及資訊安全作業程序辦理。</w:t>
      </w:r>
    </w:p>
    <w:p w:rsidR="00D263B9" w:rsidRPr="00F76DE6" w:rsidRDefault="00D263B9" w:rsidP="00F26873">
      <w:pPr>
        <w:spacing w:line="460" w:lineRule="exact"/>
        <w:ind w:leftChars="650" w:left="185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3.</w:t>
      </w:r>
      <w:r w:rsidRPr="00F76DE6">
        <w:rPr>
          <w:rFonts w:ascii="標楷體" w:eastAsia="標楷體" w:hAnsi="標楷體" w:hint="eastAsia"/>
          <w:color w:val="000000"/>
          <w:sz w:val="28"/>
          <w:szCs w:val="28"/>
        </w:rPr>
        <w:t>持有金融憑證載具人員，應妥善保管，職務異動時，應將金融憑證載具納入交代事項。</w:t>
      </w:r>
    </w:p>
    <w:p w:rsidR="00D263B9" w:rsidRPr="00F76DE6" w:rsidRDefault="00D263B9" w:rsidP="00F26873">
      <w:pPr>
        <w:spacing w:line="460" w:lineRule="exact"/>
        <w:ind w:leftChars="650" w:left="1851" w:hangingChars="104" w:hanging="291"/>
        <w:jc w:val="both"/>
        <w:rPr>
          <w:rFonts w:ascii="標楷體" w:eastAsia="標楷體" w:hAnsi="標楷體"/>
          <w:color w:val="000000"/>
          <w:sz w:val="28"/>
          <w:szCs w:val="28"/>
        </w:rPr>
      </w:pPr>
      <w:r w:rsidRPr="00F76DE6">
        <w:rPr>
          <w:rFonts w:ascii="標楷體" w:eastAsia="標楷體" w:hAnsi="標楷體"/>
          <w:color w:val="000000"/>
          <w:sz w:val="28"/>
          <w:szCs w:val="28"/>
        </w:rPr>
        <w:t>4.</w:t>
      </w:r>
      <w:r w:rsidRPr="00F76DE6">
        <w:rPr>
          <w:rFonts w:ascii="標楷體" w:eastAsia="標楷體" w:hAnsi="標楷體" w:hint="eastAsia"/>
          <w:color w:val="000000"/>
          <w:sz w:val="28"/>
          <w:szCs w:val="28"/>
        </w:rPr>
        <w:t>每日轉帳交易完成後，出納管理單位應檢附經機關相關人員簽章確認之付款結果證明文件及傳票單據等憑證資料送會計單位。</w:t>
      </w:r>
    </w:p>
    <w:p w:rsidR="00D263B9" w:rsidRPr="00F76DE6" w:rsidRDefault="00D263B9" w:rsidP="00F06135">
      <w:pPr>
        <w:pStyle w:val="BodyTextIndent"/>
        <w:spacing w:line="460" w:lineRule="exact"/>
        <w:ind w:leftChars="200" w:left="1600" w:hangingChars="400" w:hanging="1120"/>
        <w:jc w:val="both"/>
        <w:rPr>
          <w:color w:val="000000"/>
          <w:szCs w:val="28"/>
        </w:rPr>
      </w:pPr>
      <w:r w:rsidRPr="00F76DE6">
        <w:rPr>
          <w:rFonts w:hint="eastAsia"/>
          <w:color w:val="000000"/>
          <w:szCs w:val="28"/>
        </w:rPr>
        <w:t>（十三）出納管理單位接到應</w:t>
      </w:r>
      <w:r w:rsidRPr="00F76DE6">
        <w:rPr>
          <w:color w:val="000000"/>
          <w:szCs w:val="28"/>
        </w:rPr>
        <w:t>(</w:t>
      </w:r>
      <w:r w:rsidRPr="00F76DE6">
        <w:rPr>
          <w:rFonts w:hint="eastAsia"/>
          <w:color w:val="000000"/>
          <w:szCs w:val="28"/>
        </w:rPr>
        <w:t>待</w:t>
      </w:r>
      <w:r w:rsidRPr="00F76DE6">
        <w:rPr>
          <w:color w:val="000000"/>
          <w:szCs w:val="28"/>
        </w:rPr>
        <w:t>)</w:t>
      </w:r>
      <w:r w:rsidRPr="00F76DE6">
        <w:rPr>
          <w:rFonts w:hint="eastAsia"/>
          <w:color w:val="000000"/>
          <w:szCs w:val="28"/>
        </w:rPr>
        <w:t>付款單據後，應依限辦理支付，不得稽延。</w:t>
      </w:r>
    </w:p>
    <w:p w:rsidR="00D263B9" w:rsidRPr="00F76DE6" w:rsidRDefault="00D263B9" w:rsidP="007E3802">
      <w:pPr>
        <w:pStyle w:val="PlainText"/>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二十三、出納管理單位代扣之各項稅費款，應依各該扣繳規定期限，辦理代繳。其中薪資所得稅依中華民國境內居住者及非居住者區分，分別填製薪資所得扣繳稅額繳款書向金融機構繳納，並應注意下列事項：</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（一）中華民國境內居住之個人所得，應於每月十日前將上一月內所扣繳稅額繳納。</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（二）非中華民國境內居住之個人所得，應於代扣稅款之日起十日內繳納。</w:t>
      </w:r>
    </w:p>
    <w:p w:rsidR="00D263B9" w:rsidRPr="00F76DE6" w:rsidRDefault="00D263B9" w:rsidP="007E3802">
      <w:pPr>
        <w:pStyle w:val="PlainText"/>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二十四、</w:t>
      </w:r>
      <w:r w:rsidRPr="00F76DE6">
        <w:rPr>
          <w:rFonts w:ascii="標楷體" w:eastAsia="標楷體" w:hint="eastAsia"/>
          <w:color w:val="000000"/>
          <w:sz w:val="28"/>
          <w:szCs w:val="28"/>
        </w:rPr>
        <w:t>零用金係因應緊急及各項零星支付而設置，各機關零用金用以支付在一定金額以下之經費支出；其作業程序如下：</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（一）零用金之申請：</w:t>
      </w:r>
    </w:p>
    <w:p w:rsidR="00D263B9" w:rsidRPr="00F76DE6" w:rsidRDefault="00D263B9" w:rsidP="00F06135">
      <w:pPr>
        <w:spacing w:line="460" w:lineRule="exact"/>
        <w:ind w:leftChars="550" w:left="13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年度</w:t>
      </w:r>
      <w:r w:rsidRPr="00F76DE6">
        <w:rPr>
          <w:rFonts w:eastAsia="標楷體" w:hint="eastAsia"/>
          <w:color w:val="000000"/>
          <w:sz w:val="28"/>
          <w:szCs w:val="28"/>
        </w:rPr>
        <w:t>開始</w:t>
      </w:r>
      <w:r w:rsidRPr="00F76DE6">
        <w:rPr>
          <w:rFonts w:ascii="標楷體" w:eastAsia="標楷體" w:hAnsi="標楷體" w:hint="eastAsia"/>
          <w:color w:val="000000"/>
          <w:sz w:val="28"/>
          <w:szCs w:val="28"/>
        </w:rPr>
        <w:t>，各機關出納管理單位為應緊急及零星支用，應參酌實際情形在國庫主管機關或權責單位核定零用金額度內，簽會會計單位並奉機關首長或其授權人核准後，提取定額現金，備作零星支用。</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（二）各</w:t>
      </w:r>
      <w:r w:rsidRPr="00F76DE6">
        <w:rPr>
          <w:rFonts w:ascii="標楷體" w:eastAsia="標楷體" w:hAnsi="Courier New" w:hint="eastAsia"/>
          <w:color w:val="000000"/>
          <w:sz w:val="28"/>
          <w:szCs w:val="28"/>
        </w:rPr>
        <w:t>業務</w:t>
      </w:r>
      <w:r w:rsidRPr="00F76DE6">
        <w:rPr>
          <w:rFonts w:ascii="標楷體" w:eastAsia="標楷體" w:hAnsi="標楷體" w:hint="eastAsia"/>
          <w:color w:val="000000"/>
          <w:sz w:val="28"/>
          <w:szCs w:val="28"/>
        </w:rPr>
        <w:t>承辦單位因業務需要，得經其單位主管及主辦出納或其授權人核准，向出納管理人員借款備付，惟應自借款當日起算三日內檢附支出憑證辦理核銷；情況特殊無法及時辦理核銷者，應敘明具體事由並訂定核銷期限，依分層負責程序簽准後依限辦理。</w:t>
      </w:r>
    </w:p>
    <w:p w:rsidR="00D263B9" w:rsidRPr="00F76DE6" w:rsidRDefault="00D263B9" w:rsidP="00F0613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w:t>
      </w:r>
      <w:r w:rsidRPr="00F76DE6">
        <w:rPr>
          <w:rFonts w:ascii="標楷體" w:eastAsia="標楷體" w:hint="eastAsia"/>
          <w:color w:val="000000"/>
          <w:sz w:val="28"/>
          <w:szCs w:val="28"/>
        </w:rPr>
        <w:t>各</w:t>
      </w:r>
      <w:r w:rsidRPr="00F76DE6">
        <w:rPr>
          <w:rFonts w:eastAsia="標楷體" w:hint="eastAsia"/>
          <w:color w:val="000000"/>
          <w:sz w:val="28"/>
          <w:szCs w:val="28"/>
        </w:rPr>
        <w:t>機關</w:t>
      </w:r>
      <w:r w:rsidRPr="00F76DE6">
        <w:rPr>
          <w:rFonts w:ascii="標楷體" w:eastAsia="標楷體" w:hint="eastAsia"/>
          <w:color w:val="000000"/>
          <w:sz w:val="28"/>
          <w:szCs w:val="28"/>
        </w:rPr>
        <w:t>以零用金支出之費用，其支出憑證應併附核准支出文件，由經辦人員粘貼於原始憑證黏存單上，經會相關權責單位及機關首長或其授權人之核准，向出納管理人員領取或辦理核銷。</w:t>
      </w:r>
    </w:p>
    <w:p w:rsidR="00D263B9" w:rsidRPr="00F76DE6" w:rsidRDefault="00D263B9" w:rsidP="00F06135">
      <w:pPr>
        <w:spacing w:line="460" w:lineRule="exact"/>
        <w:ind w:leftChars="200" w:left="1317" w:hangingChars="299" w:hanging="837"/>
        <w:jc w:val="both"/>
        <w:rPr>
          <w:rFonts w:eastAsia="標楷體"/>
          <w:color w:val="000000"/>
          <w:sz w:val="28"/>
          <w:szCs w:val="28"/>
        </w:rPr>
      </w:pPr>
      <w:r w:rsidRPr="00F76DE6">
        <w:rPr>
          <w:rFonts w:ascii="標楷體" w:eastAsia="標楷體" w:hAnsi="標楷體" w:hint="eastAsia"/>
          <w:color w:val="000000"/>
          <w:sz w:val="28"/>
          <w:szCs w:val="28"/>
        </w:rPr>
        <w:t>（四）零用金</w:t>
      </w:r>
      <w:r w:rsidRPr="00F76DE6">
        <w:rPr>
          <w:rFonts w:ascii="標楷體" w:eastAsia="標楷體" w:hint="eastAsia"/>
          <w:color w:val="000000"/>
          <w:sz w:val="28"/>
          <w:szCs w:val="28"/>
        </w:rPr>
        <w:t>支付</w:t>
      </w:r>
      <w:r w:rsidRPr="00F76DE6">
        <w:rPr>
          <w:rFonts w:ascii="標楷體" w:eastAsia="標楷體" w:hAnsi="標楷體" w:hint="eastAsia"/>
          <w:color w:val="000000"/>
          <w:sz w:val="28"/>
          <w:szCs w:val="28"/>
        </w:rPr>
        <w:t>後，出納管理人員應將支出憑證予以編號加蓋付訖及日期章，隨時逐筆登入零用金備查簿，於支付相當數額時，按類別整理歸類，填具零用金支用清單及總表，連同支出憑證及核准支出文件，經主辦出納或其授權人核章後，送會計單位審核，依規定程序撥還。</w:t>
      </w:r>
    </w:p>
    <w:p w:rsidR="00D263B9" w:rsidRPr="00F76DE6" w:rsidRDefault="00D263B9" w:rsidP="00F06135">
      <w:pPr>
        <w:spacing w:line="460" w:lineRule="exact"/>
        <w:ind w:leftChars="200" w:left="1317" w:hangingChars="299" w:hanging="837"/>
        <w:jc w:val="both"/>
        <w:rPr>
          <w:sz w:val="28"/>
          <w:szCs w:val="28"/>
        </w:rPr>
      </w:pPr>
      <w:r w:rsidRPr="00F76DE6">
        <w:rPr>
          <w:rFonts w:ascii="標楷體" w:eastAsia="標楷體" w:hAnsi="標楷體" w:hint="eastAsia"/>
          <w:color w:val="000000"/>
          <w:sz w:val="28"/>
          <w:szCs w:val="28"/>
        </w:rPr>
        <w:t>（五）</w:t>
      </w:r>
      <w:r w:rsidRPr="00F76DE6">
        <w:rPr>
          <w:rFonts w:eastAsia="標楷體" w:hint="eastAsia"/>
          <w:color w:val="000000"/>
          <w:sz w:val="28"/>
          <w:szCs w:val="28"/>
        </w:rPr>
        <w:t>會計年度</w:t>
      </w:r>
      <w:r w:rsidRPr="00F76DE6">
        <w:rPr>
          <w:rFonts w:ascii="標楷體" w:eastAsia="標楷體" w:hAnsi="標楷體" w:hint="eastAsia"/>
          <w:color w:val="000000"/>
          <w:sz w:val="28"/>
          <w:szCs w:val="28"/>
        </w:rPr>
        <w:t>終了時，應依規定辦理零用金之結轉或繳回。</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十六、票據、有價證券及其他保管品之收付，出納管理單位應根據傳票執行，並當面清點，如根據核准文件收入者，應即填製「收入款項通知單」或書面通知會計單位補製傳票，執行後，主辦出納及收付票據、有價證券及保管品之出納管理人員，應於傳票上簽章以示完成收付手續。</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二十七、出納管理單位收到各種票據、有價證券及其他保管品，除須於當日發還者外，應依照保管品有關規定送存國庫經辦行保管。</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三十五、出納管理單位應配合會計單位、業務或採購等單位隨時注意押標金、保證金、其他擔保及保管品之兌償期限，隨時清理。</w:t>
      </w:r>
    </w:p>
    <w:p w:rsidR="00D263B9" w:rsidRPr="00F76DE6" w:rsidRDefault="00D263B9" w:rsidP="007E3802">
      <w:pPr>
        <w:spacing w:line="460" w:lineRule="exact"/>
        <w:ind w:left="560" w:hangingChars="200" w:hanging="560"/>
        <w:jc w:val="both"/>
        <w:rPr>
          <w:rFonts w:ascii="標楷體" w:eastAsia="標楷體" w:hAnsi="標楷體"/>
          <w:color w:val="FF0000"/>
          <w:sz w:val="28"/>
          <w:szCs w:val="28"/>
        </w:rPr>
      </w:pPr>
      <w:r w:rsidRPr="00F76DE6">
        <w:rPr>
          <w:rFonts w:ascii="標楷體" w:eastAsia="標楷體" w:hAnsi="標楷體" w:hint="eastAsia"/>
          <w:color w:val="000000"/>
          <w:sz w:val="28"/>
          <w:szCs w:val="28"/>
        </w:rPr>
        <w:t>三十六、</w:t>
      </w:r>
      <w:r w:rsidRPr="00F76DE6">
        <w:rPr>
          <w:rFonts w:eastAsia="標楷體" w:hAnsi="標楷體" w:hint="eastAsia"/>
          <w:color w:val="000000"/>
          <w:sz w:val="28"/>
          <w:szCs w:val="28"/>
        </w:rPr>
        <w:t>各機關使用之自行收納款項收據及領用單之格式，由各機關視</w:t>
      </w:r>
      <w:r w:rsidRPr="00F76DE6">
        <w:rPr>
          <w:rFonts w:ascii="標楷體" w:eastAsia="標楷體" w:hAnsi="標楷體" w:hint="eastAsia"/>
          <w:color w:val="000000"/>
          <w:sz w:val="28"/>
          <w:szCs w:val="28"/>
        </w:rPr>
        <w:t>業務</w:t>
      </w:r>
      <w:r w:rsidRPr="00F76DE6">
        <w:rPr>
          <w:rFonts w:eastAsia="標楷體" w:hAnsi="標楷體" w:hint="eastAsia"/>
          <w:color w:val="000000"/>
          <w:sz w:val="28"/>
          <w:szCs w:val="28"/>
        </w:rPr>
        <w:t>需要自行定之，並就其印製、保管、使用及銷毀建立內部控管作業程序，確實辦理。</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三十九、已使用之自行收納款項收據，第一聯交繳款人收執，第二聯報核，送會計單位列帳。第三聯存根，由出納管理單位或使用單位存查，並配合會計憑證保存年限、檔案保存</w:t>
      </w:r>
      <w:r w:rsidRPr="00F76DE6">
        <w:rPr>
          <w:rFonts w:eastAsia="標楷體" w:hint="eastAsia"/>
          <w:color w:val="000000"/>
          <w:sz w:val="28"/>
          <w:szCs w:val="28"/>
        </w:rPr>
        <w:t>與銷毀</w:t>
      </w:r>
      <w:r w:rsidRPr="00F76DE6">
        <w:rPr>
          <w:rFonts w:ascii="標楷體" w:eastAsia="標楷體" w:hAnsi="標楷體" w:hint="eastAsia"/>
          <w:color w:val="000000"/>
          <w:sz w:val="28"/>
          <w:szCs w:val="28"/>
        </w:rPr>
        <w:t>等相關規定辦理。</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四十、已使用擬作廢之收據，由保管單位或使用單位列表記錄起訖號碼，截角作廢，並妥慎保管備查，保管期限或銷毀作業應依前點規定辦理。</w:t>
      </w:r>
    </w:p>
    <w:p w:rsidR="00D263B9" w:rsidRPr="00F76DE6" w:rsidRDefault="00D263B9" w:rsidP="00F26873">
      <w:pPr>
        <w:adjustRightInd w:val="0"/>
        <w:spacing w:line="460" w:lineRule="exact"/>
        <w:ind w:leftChars="200" w:left="480"/>
        <w:jc w:val="both"/>
        <w:rPr>
          <w:rFonts w:ascii="標楷體" w:eastAsia="標楷體" w:hAnsi="標楷體"/>
          <w:color w:val="000000"/>
          <w:sz w:val="28"/>
          <w:szCs w:val="28"/>
        </w:rPr>
      </w:pPr>
      <w:r w:rsidRPr="00F76DE6">
        <w:rPr>
          <w:rFonts w:ascii="標楷體" w:eastAsia="標楷體" w:hAnsi="標楷體" w:hint="eastAsia"/>
          <w:color w:val="000000"/>
          <w:sz w:val="28"/>
          <w:szCs w:val="28"/>
        </w:rPr>
        <w:t>未使用之空白收據，保管期限至少二年，保管期限屆滿後，得簽報機關首長同意後銷毀。</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十九、出納管理單位，除領用之零用金，應適時辦理結報申請撥還外，並斟酌需要，根據現金出納備查簿，分別編製現金日報表、旬報表及月報表，連同國庫經辦行或其他金融機構對帳單及存款分析表，送會計單位核對，併同會計報告轉報。其他出納報表，得視實際需要定之。</w:t>
      </w:r>
    </w:p>
    <w:p w:rsidR="00D263B9" w:rsidRPr="00F76DE6" w:rsidRDefault="00D263B9" w:rsidP="007E3802">
      <w:pPr>
        <w:pStyle w:val="PlainText"/>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五十、出納管理單位為辦理收支有關事項，應備具如下書表</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其格式詳附錄貳</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（一）繳款書。</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（二）支出收回書。</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（三）收入退還書。</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（四）轉正通知書。</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（五）機關專戶存款收款書。</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（六）國庫保管品申請書。</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（七）保管品月報表。</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（八）國庫經辦行或其他金融機構存款結存差額解釋表。</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（九）保管品結存差額解釋表。</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（十）零用金支用清單。</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（十一）現金結存</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日報</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表。</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（十二）現金收支結存旬報表</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含現金收支月報表</w:t>
      </w:r>
      <w:r w:rsidRPr="00F76DE6">
        <w:rPr>
          <w:rFonts w:ascii="標楷體" w:eastAsia="標楷體" w:hAnsi="標楷體"/>
          <w:color w:val="000000"/>
          <w:sz w:val="28"/>
          <w:szCs w:val="28"/>
        </w:rPr>
        <w:t>)</w:t>
      </w:r>
      <w:r w:rsidRPr="00F76DE6">
        <w:rPr>
          <w:rFonts w:ascii="標楷體" w:eastAsia="標楷體" w:hAnsi="標楷體" w:hint="eastAsia"/>
          <w:color w:val="000000"/>
          <w:sz w:val="28"/>
          <w:szCs w:val="28"/>
        </w:rPr>
        <w:t>。</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（十三）自行收納款項收據紀錄卡。</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五十一、各機關出納管理單位，對存管之現金、票據、支票簿、有價證券、自行收納款項收據及其他保管品等，每年應作定期與不定期之盤點，並將盤點紀錄陳報單位主管；</w:t>
      </w:r>
      <w:r w:rsidRPr="00F76DE6">
        <w:rPr>
          <w:rFonts w:ascii="標楷體" w:eastAsia="標楷體" w:hAnsi="標楷體" w:hint="eastAsia"/>
          <w:sz w:val="28"/>
          <w:szCs w:val="28"/>
        </w:rPr>
        <w:t>另由會計單位每年至少監督盤點一次。</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五十二、辦理盤點人員如發現存管之現金、票據、支票簿、有價證券、自行收納款項收據及其他保管品等與相關之紀錄不符時，應查明不符之原因，陳報機關首長。如有缺失事項，應限期改善並列管追蹤。</w:t>
      </w:r>
    </w:p>
    <w:p w:rsidR="00D263B9" w:rsidRPr="00F76DE6" w:rsidRDefault="00D263B9" w:rsidP="007E3802">
      <w:pPr>
        <w:spacing w:line="460" w:lineRule="exact"/>
        <w:ind w:left="560" w:hangingChars="200" w:hanging="56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五十三、為加強出納管理，各機關應依照本手冊及相關規定，落實逐級督導，並實施查核：</w:t>
      </w:r>
    </w:p>
    <w:p w:rsidR="00D263B9" w:rsidRPr="00F76DE6" w:rsidRDefault="00D263B9" w:rsidP="00E5646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（一）各</w:t>
      </w:r>
      <w:r w:rsidRPr="00F76DE6">
        <w:rPr>
          <w:rFonts w:eastAsia="標楷體" w:hint="eastAsia"/>
          <w:color w:val="000000"/>
          <w:sz w:val="28"/>
          <w:szCs w:val="28"/>
        </w:rPr>
        <w:t>機關</w:t>
      </w:r>
      <w:r w:rsidRPr="00F76DE6">
        <w:rPr>
          <w:rFonts w:ascii="標楷體" w:eastAsia="標楷體" w:hAnsi="標楷體" w:hint="eastAsia"/>
          <w:color w:val="000000"/>
          <w:sz w:val="28"/>
          <w:szCs w:val="28"/>
        </w:rPr>
        <w:t>至少每年應自行辦理定期及不定期查核各一次，並得併同其他查核辦理。</w:t>
      </w:r>
    </w:p>
    <w:p w:rsidR="00D263B9" w:rsidRPr="00F76DE6" w:rsidRDefault="00D263B9" w:rsidP="00E56465">
      <w:pPr>
        <w:spacing w:line="460" w:lineRule="exact"/>
        <w:ind w:leftChars="200" w:left="1320" w:hangingChars="300" w:hanging="840"/>
        <w:jc w:val="both"/>
        <w:rPr>
          <w:color w:val="000000"/>
          <w:sz w:val="28"/>
          <w:szCs w:val="28"/>
        </w:rPr>
      </w:pPr>
      <w:r w:rsidRPr="00F76DE6">
        <w:rPr>
          <w:rFonts w:ascii="標楷體" w:eastAsia="標楷體" w:hAnsi="標楷體" w:hint="eastAsia"/>
          <w:color w:val="000000"/>
          <w:sz w:val="28"/>
          <w:szCs w:val="28"/>
        </w:rPr>
        <w:t>（二）上級機關</w:t>
      </w:r>
      <w:r w:rsidRPr="00F76DE6">
        <w:rPr>
          <w:rFonts w:ascii="標楷體" w:eastAsia="標楷體" w:hAnsi="標楷體" w:hint="eastAsia"/>
          <w:sz w:val="28"/>
          <w:szCs w:val="28"/>
        </w:rPr>
        <w:t>對所屬不定期抽查，</w:t>
      </w:r>
      <w:r w:rsidRPr="00F76DE6">
        <w:rPr>
          <w:rFonts w:ascii="標楷體" w:eastAsia="標楷體" w:hAnsi="標楷體" w:hint="eastAsia"/>
          <w:color w:val="000000"/>
          <w:sz w:val="28"/>
          <w:szCs w:val="28"/>
        </w:rPr>
        <w:t>得採風險性或重要性管理原則，或併同其他性質類似之查核辦理。</w:t>
      </w:r>
    </w:p>
    <w:p w:rsidR="00D263B9" w:rsidRPr="00F76DE6" w:rsidRDefault="00D263B9" w:rsidP="0010774B">
      <w:pPr>
        <w:pStyle w:val="PlainText"/>
        <w:spacing w:line="460" w:lineRule="exact"/>
        <w:ind w:left="112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五十五、出納事務之查核要項如下：</w:t>
      </w:r>
      <w:r w:rsidRPr="00F76DE6">
        <w:rPr>
          <w:rFonts w:ascii="標楷體" w:eastAsia="標楷體" w:hAnsi="標楷體"/>
          <w:color w:val="000000"/>
          <w:sz w:val="28"/>
          <w:szCs w:val="28"/>
        </w:rPr>
        <w:t xml:space="preserve"> </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（一）出納手續是否符合規定。</w:t>
      </w:r>
    </w:p>
    <w:p w:rsidR="00D263B9" w:rsidRPr="00F76DE6" w:rsidRDefault="00D263B9" w:rsidP="00E663CF">
      <w:pPr>
        <w:kinsoku w:val="0"/>
        <w:overflowPunct w:val="0"/>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（二）庫存現金數目，是否與會計紀錄符合，有無私自墊借或以單據抵現情事，有無與核定額度相符。</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（三）傳票送達後，辦理收付款項，是否迅速。</w:t>
      </w:r>
    </w:p>
    <w:p w:rsidR="00D263B9" w:rsidRPr="00F76DE6" w:rsidRDefault="00D263B9" w:rsidP="00E663CF">
      <w:pPr>
        <w:kinsoku w:val="0"/>
        <w:overflowPunct w:val="0"/>
        <w:autoSpaceDE w:val="0"/>
        <w:autoSpaceDN w:val="0"/>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四）保管之票據、有價證券及其他保管品等，是否與帳面相符。是否每月提供已奉核之存庫保管品帳戶明細資料供採購或業務相關單位勾稽，並由其將勾稽情形通知出納管理單位。委託國庫經辦行保管之保管品是否定期清查及清理。</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（五）各種出納帳表，是否齊全，相關紀錄有否翔實完備。</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（六）</w:t>
      </w:r>
      <w:r w:rsidRPr="00F76DE6">
        <w:rPr>
          <w:rFonts w:ascii="標楷體" w:eastAsia="標楷體" w:hint="eastAsia"/>
          <w:color w:val="000000"/>
          <w:sz w:val="28"/>
          <w:szCs w:val="28"/>
        </w:rPr>
        <w:t>收付款項，是否隨時登帳及依規定期限悉數辦理繳庫。</w:t>
      </w:r>
      <w:r w:rsidRPr="00F76DE6">
        <w:rPr>
          <w:rFonts w:ascii="標楷體" w:eastAsia="標楷體" w:hAnsi="標楷體"/>
          <w:color w:val="000000"/>
          <w:sz w:val="28"/>
          <w:szCs w:val="28"/>
        </w:rPr>
        <w:t xml:space="preserve"> </w:t>
      </w:r>
    </w:p>
    <w:p w:rsidR="00D263B9" w:rsidRPr="00F76DE6" w:rsidRDefault="00D263B9" w:rsidP="00E56465">
      <w:pPr>
        <w:spacing w:line="460" w:lineRule="exact"/>
        <w:ind w:leftChars="200" w:left="1317" w:hangingChars="299" w:hanging="837"/>
        <w:jc w:val="both"/>
        <w:rPr>
          <w:rFonts w:ascii="標楷體" w:eastAsia="標楷體" w:hAnsi="標楷體"/>
          <w:color w:val="000000"/>
          <w:sz w:val="28"/>
          <w:szCs w:val="28"/>
        </w:rPr>
      </w:pPr>
      <w:r w:rsidRPr="00F76DE6">
        <w:rPr>
          <w:rFonts w:ascii="標楷體" w:eastAsia="標楷體" w:hAnsi="標楷體" w:hint="eastAsia"/>
          <w:color w:val="000000"/>
          <w:sz w:val="28"/>
          <w:szCs w:val="28"/>
        </w:rPr>
        <w:t>（七）暫收款、收據貼印花及保管時間，是否能遵照規定辦理。</w:t>
      </w:r>
    </w:p>
    <w:p w:rsidR="00D263B9" w:rsidRPr="00F76DE6" w:rsidRDefault="00D263B9" w:rsidP="00E663CF">
      <w:pPr>
        <w:kinsoku w:val="0"/>
        <w:overflowPunct w:val="0"/>
        <w:autoSpaceDE w:val="0"/>
        <w:autoSpaceDN w:val="0"/>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（八）零用金支付之每案金額有無超過一定金額，保管是否妥善，有無隨時登記零用金備查簿，結存數與未報銷單據金額之總額，是否與零用金之金額相符。</w:t>
      </w:r>
    </w:p>
    <w:p w:rsidR="00D263B9" w:rsidRPr="00F76DE6" w:rsidRDefault="00D263B9" w:rsidP="00E56465">
      <w:pPr>
        <w:spacing w:line="460" w:lineRule="exact"/>
        <w:ind w:leftChars="200" w:left="1320" w:hangingChars="300" w:hanging="840"/>
        <w:jc w:val="both"/>
        <w:rPr>
          <w:rFonts w:ascii="標楷體" w:eastAsia="標楷體" w:hAnsi="標楷體"/>
          <w:color w:val="000000"/>
          <w:sz w:val="28"/>
          <w:szCs w:val="28"/>
        </w:rPr>
      </w:pPr>
      <w:r w:rsidRPr="00F76DE6">
        <w:rPr>
          <w:rFonts w:ascii="標楷體" w:eastAsia="標楷體" w:hAnsi="標楷體" w:hint="eastAsia"/>
          <w:color w:val="000000"/>
          <w:sz w:val="28"/>
          <w:szCs w:val="28"/>
        </w:rPr>
        <w:t>（九）自行收納之各項收入，有無依照規定保管、使用自行收納款項收據。</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（十）自行收納款項收據之使用是否良善。</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（十一）現金、各種票據、</w:t>
      </w:r>
      <w:r w:rsidRPr="00F76DE6">
        <w:rPr>
          <w:rFonts w:ascii="標楷體" w:eastAsia="標楷體" w:hAnsi="標楷體" w:hint="eastAsia"/>
          <w:sz w:val="28"/>
          <w:szCs w:val="28"/>
        </w:rPr>
        <w:t>支票簿</w:t>
      </w:r>
      <w:r w:rsidRPr="00F76DE6">
        <w:rPr>
          <w:rFonts w:ascii="標楷體" w:eastAsia="標楷體" w:hAnsi="標楷體" w:hint="eastAsia"/>
          <w:color w:val="000000"/>
          <w:sz w:val="28"/>
          <w:szCs w:val="28"/>
        </w:rPr>
        <w:t>、存摺、存單、有價證券及其他保管品等之出納有無依照規定程序處理，保管是否妥適，有無隨時登記，其實際結存金額與帳面結存是否相符。</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（十二）國庫經辦行或其他</w:t>
      </w:r>
      <w:r w:rsidRPr="00F76DE6">
        <w:rPr>
          <w:rFonts w:eastAsia="標楷體" w:hint="eastAsia"/>
          <w:color w:val="000000"/>
          <w:sz w:val="28"/>
          <w:szCs w:val="28"/>
        </w:rPr>
        <w:t>金融機構所送存款對帳單及保管品對帳單有無與帳載數核對，如有差額，出納管理單位有無查明其發生原因是否正當，並編製差額解釋表等。對帳單回單有無儘速寄回各該金融機構。</w:t>
      </w:r>
      <w:r w:rsidRPr="00F76DE6">
        <w:rPr>
          <w:rFonts w:ascii="標楷體" w:eastAsia="標楷體" w:hAnsi="標楷體"/>
          <w:color w:val="000000"/>
          <w:sz w:val="28"/>
          <w:szCs w:val="28"/>
        </w:rPr>
        <w:t xml:space="preserve"> </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（十三）出納管理人員有無任相同工作六年以上之情形，職務代理制度有無貫徹實施。</w:t>
      </w:r>
    </w:p>
    <w:p w:rsidR="00D263B9" w:rsidRPr="00F76DE6" w:rsidRDefault="00D263B9" w:rsidP="00E56465">
      <w:pPr>
        <w:spacing w:line="460" w:lineRule="exact"/>
        <w:ind w:leftChars="200" w:left="1600" w:hangingChars="400" w:hanging="1120"/>
        <w:jc w:val="both"/>
        <w:rPr>
          <w:rFonts w:ascii="標楷體" w:eastAsia="標楷體" w:hAnsi="標楷體"/>
          <w:color w:val="000000"/>
          <w:sz w:val="28"/>
          <w:szCs w:val="28"/>
        </w:rPr>
      </w:pPr>
      <w:r w:rsidRPr="00F76DE6">
        <w:rPr>
          <w:rFonts w:ascii="標楷體" w:eastAsia="標楷體" w:hAnsi="標楷體" w:hint="eastAsia"/>
          <w:color w:val="000000"/>
          <w:sz w:val="28"/>
          <w:szCs w:val="28"/>
        </w:rPr>
        <w:t>（十四）主辦出納及出納管理人員有無每三年參與相關訓練或講習課程。</w:t>
      </w:r>
    </w:p>
    <w:p w:rsidR="00D263B9" w:rsidRPr="00F76DE6" w:rsidRDefault="00D263B9" w:rsidP="00E56465">
      <w:pPr>
        <w:spacing w:line="460" w:lineRule="exact"/>
        <w:ind w:leftChars="200" w:left="1600" w:hangingChars="400" w:hanging="1120"/>
        <w:jc w:val="both"/>
        <w:rPr>
          <w:color w:val="000000"/>
          <w:sz w:val="28"/>
          <w:szCs w:val="28"/>
        </w:rPr>
      </w:pPr>
      <w:r w:rsidRPr="00F76DE6">
        <w:rPr>
          <w:rFonts w:ascii="標楷體" w:eastAsia="標楷體" w:hAnsi="標楷體" w:hint="eastAsia"/>
          <w:color w:val="000000"/>
          <w:sz w:val="28"/>
          <w:szCs w:val="28"/>
        </w:rPr>
        <w:t>（十五）機關首長、主辦會計、主辦出納或其授權代簽人如有異動，是否及時辦理帳戶印鑑變更。</w:t>
      </w:r>
    </w:p>
    <w:sectPr w:rsidR="00D263B9" w:rsidRPr="00F76DE6" w:rsidSect="00C65CB9">
      <w:footerReference w:type="even" r:id="rId7"/>
      <w:footerReference w:type="default" r:id="rId8"/>
      <w:pgSz w:w="11906" w:h="16838" w:code="9"/>
      <w:pgMar w:top="1440" w:right="1797" w:bottom="1440" w:left="179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B9" w:rsidRDefault="00D263B9">
      <w:r>
        <w:separator/>
      </w:r>
    </w:p>
  </w:endnote>
  <w:endnote w:type="continuationSeparator" w:id="0">
    <w:p w:rsidR="00D263B9" w:rsidRDefault="00D26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B9" w:rsidRDefault="00D263B9" w:rsidP="00170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63B9" w:rsidRDefault="00D263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B9" w:rsidRDefault="00D263B9" w:rsidP="00170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63B9" w:rsidRDefault="00D263B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B9" w:rsidRDefault="00D263B9">
      <w:r>
        <w:separator/>
      </w:r>
    </w:p>
  </w:footnote>
  <w:footnote w:type="continuationSeparator" w:id="0">
    <w:p w:rsidR="00D263B9" w:rsidRDefault="00D26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5DED"/>
    <w:multiLevelType w:val="hybridMultilevel"/>
    <w:tmpl w:val="EC82CC5E"/>
    <w:lvl w:ilvl="0" w:tplc="A880BFE2">
      <w:start w:val="7"/>
      <w:numFmt w:val="taiwaneseCountingThousand"/>
      <w:lvlText w:val="第%1章"/>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30060729"/>
    <w:multiLevelType w:val="multilevel"/>
    <w:tmpl w:val="7040E8CA"/>
    <w:styleLink w:val="1"/>
    <w:lvl w:ilvl="0">
      <w:start w:val="1"/>
      <w:numFmt w:val="none"/>
      <w:lvlText w:val="%1(一)"/>
      <w:lvlJc w:val="left"/>
      <w:pPr>
        <w:tabs>
          <w:tab w:val="num" w:pos="840"/>
        </w:tabs>
        <w:ind w:left="840" w:hanging="360"/>
      </w:pPr>
      <w:rPr>
        <w:rFonts w:ascii="新細明體" w:eastAsia="新細明體" w:cs="Times New Roman" w:hint="default"/>
      </w:rPr>
    </w:lvl>
    <w:lvl w:ilvl="1">
      <w:start w:val="1"/>
      <w:numFmt w:val="ideographTraditional"/>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nsid w:val="33DF2B4B"/>
    <w:multiLevelType w:val="hybridMultilevel"/>
    <w:tmpl w:val="C786EFD6"/>
    <w:lvl w:ilvl="0" w:tplc="87B233E8">
      <w:start w:val="7"/>
      <w:numFmt w:val="taiwaneseCountingThousand"/>
      <w:lvlText w:val="第%1章"/>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A0E6D55"/>
    <w:multiLevelType w:val="hybridMultilevel"/>
    <w:tmpl w:val="60BCA7B0"/>
    <w:lvl w:ilvl="0" w:tplc="AB741516">
      <w:start w:val="3"/>
      <w:numFmt w:val="taiwaneseCountingThousand"/>
      <w:lvlText w:val="第%1章"/>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3C1A7FD2"/>
    <w:multiLevelType w:val="hybridMultilevel"/>
    <w:tmpl w:val="0E289772"/>
    <w:lvl w:ilvl="0" w:tplc="2ED05396">
      <w:start w:val="3"/>
      <w:numFmt w:val="taiwaneseCountingThousand"/>
      <w:lvlText w:val="第%1章"/>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3FB25F8D"/>
    <w:multiLevelType w:val="hybridMultilevel"/>
    <w:tmpl w:val="EDA2EDF0"/>
    <w:lvl w:ilvl="0" w:tplc="DB46AFE2">
      <w:start w:val="3"/>
      <w:numFmt w:val="taiwaneseCountingThousand"/>
      <w:lvlText w:val="第%1章"/>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11511B0"/>
    <w:multiLevelType w:val="hybridMultilevel"/>
    <w:tmpl w:val="F8B26588"/>
    <w:lvl w:ilvl="0" w:tplc="4E2071E0">
      <w:start w:val="3"/>
      <w:numFmt w:val="taiwaneseCountingThousand"/>
      <w:lvlText w:val="第%1章"/>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0B326A6"/>
    <w:multiLevelType w:val="hybridMultilevel"/>
    <w:tmpl w:val="D8D87FA6"/>
    <w:lvl w:ilvl="0" w:tplc="69C88F32">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8">
    <w:nsid w:val="51D5101C"/>
    <w:multiLevelType w:val="hybridMultilevel"/>
    <w:tmpl w:val="CD605FEE"/>
    <w:lvl w:ilvl="0" w:tplc="04BAC5B8">
      <w:start w:val="3"/>
      <w:numFmt w:val="taiwaneseCountingThousand"/>
      <w:lvlText w:val="第%1章"/>
      <w:lvlJc w:val="left"/>
      <w:pPr>
        <w:tabs>
          <w:tab w:val="num" w:pos="1678"/>
        </w:tabs>
        <w:ind w:left="1678" w:hanging="720"/>
      </w:pPr>
      <w:rPr>
        <w:rFonts w:cs="Times New Roman" w:hint="eastAsia"/>
      </w:rPr>
    </w:lvl>
    <w:lvl w:ilvl="1" w:tplc="04090019" w:tentative="1">
      <w:start w:val="1"/>
      <w:numFmt w:val="ideographTraditional"/>
      <w:lvlText w:val="%2、"/>
      <w:lvlJc w:val="left"/>
      <w:pPr>
        <w:tabs>
          <w:tab w:val="num" w:pos="1918"/>
        </w:tabs>
        <w:ind w:left="1918" w:hanging="480"/>
      </w:pPr>
      <w:rPr>
        <w:rFonts w:cs="Times New Roman"/>
      </w:rPr>
    </w:lvl>
    <w:lvl w:ilvl="2" w:tplc="0409001B" w:tentative="1">
      <w:start w:val="1"/>
      <w:numFmt w:val="lowerRoman"/>
      <w:lvlText w:val="%3."/>
      <w:lvlJc w:val="right"/>
      <w:pPr>
        <w:tabs>
          <w:tab w:val="num" w:pos="2398"/>
        </w:tabs>
        <w:ind w:left="2398" w:hanging="480"/>
      </w:pPr>
      <w:rPr>
        <w:rFonts w:cs="Times New Roman"/>
      </w:rPr>
    </w:lvl>
    <w:lvl w:ilvl="3" w:tplc="0409000F" w:tentative="1">
      <w:start w:val="1"/>
      <w:numFmt w:val="decimal"/>
      <w:lvlText w:val="%4."/>
      <w:lvlJc w:val="left"/>
      <w:pPr>
        <w:tabs>
          <w:tab w:val="num" w:pos="2878"/>
        </w:tabs>
        <w:ind w:left="2878" w:hanging="480"/>
      </w:pPr>
      <w:rPr>
        <w:rFonts w:cs="Times New Roman"/>
      </w:rPr>
    </w:lvl>
    <w:lvl w:ilvl="4" w:tplc="04090019" w:tentative="1">
      <w:start w:val="1"/>
      <w:numFmt w:val="ideographTraditional"/>
      <w:lvlText w:val="%5、"/>
      <w:lvlJc w:val="left"/>
      <w:pPr>
        <w:tabs>
          <w:tab w:val="num" w:pos="3358"/>
        </w:tabs>
        <w:ind w:left="3358" w:hanging="480"/>
      </w:pPr>
      <w:rPr>
        <w:rFonts w:cs="Times New Roman"/>
      </w:rPr>
    </w:lvl>
    <w:lvl w:ilvl="5" w:tplc="0409001B" w:tentative="1">
      <w:start w:val="1"/>
      <w:numFmt w:val="lowerRoman"/>
      <w:lvlText w:val="%6."/>
      <w:lvlJc w:val="right"/>
      <w:pPr>
        <w:tabs>
          <w:tab w:val="num" w:pos="3838"/>
        </w:tabs>
        <w:ind w:left="3838" w:hanging="480"/>
      </w:pPr>
      <w:rPr>
        <w:rFonts w:cs="Times New Roman"/>
      </w:rPr>
    </w:lvl>
    <w:lvl w:ilvl="6" w:tplc="0409000F" w:tentative="1">
      <w:start w:val="1"/>
      <w:numFmt w:val="decimal"/>
      <w:lvlText w:val="%7."/>
      <w:lvlJc w:val="left"/>
      <w:pPr>
        <w:tabs>
          <w:tab w:val="num" w:pos="4318"/>
        </w:tabs>
        <w:ind w:left="4318" w:hanging="480"/>
      </w:pPr>
      <w:rPr>
        <w:rFonts w:cs="Times New Roman"/>
      </w:rPr>
    </w:lvl>
    <w:lvl w:ilvl="7" w:tplc="04090019" w:tentative="1">
      <w:start w:val="1"/>
      <w:numFmt w:val="ideographTraditional"/>
      <w:lvlText w:val="%8、"/>
      <w:lvlJc w:val="left"/>
      <w:pPr>
        <w:tabs>
          <w:tab w:val="num" w:pos="4798"/>
        </w:tabs>
        <w:ind w:left="4798" w:hanging="480"/>
      </w:pPr>
      <w:rPr>
        <w:rFonts w:cs="Times New Roman"/>
      </w:rPr>
    </w:lvl>
    <w:lvl w:ilvl="8" w:tplc="0409001B" w:tentative="1">
      <w:start w:val="1"/>
      <w:numFmt w:val="lowerRoman"/>
      <w:lvlText w:val="%9."/>
      <w:lvlJc w:val="right"/>
      <w:pPr>
        <w:tabs>
          <w:tab w:val="num" w:pos="5278"/>
        </w:tabs>
        <w:ind w:left="5278" w:hanging="480"/>
      </w:pPr>
      <w:rPr>
        <w:rFonts w:cs="Times New Roman"/>
      </w:rPr>
    </w:lvl>
  </w:abstractNum>
  <w:abstractNum w:abstractNumId="9">
    <w:nsid w:val="53565960"/>
    <w:multiLevelType w:val="hybridMultilevel"/>
    <w:tmpl w:val="92CABD0A"/>
    <w:lvl w:ilvl="0" w:tplc="0DFAB3DC">
      <w:start w:val="3"/>
      <w:numFmt w:val="taiwaneseCountingThousand"/>
      <w:lvlText w:val="第%1章"/>
      <w:lvlJc w:val="left"/>
      <w:pPr>
        <w:tabs>
          <w:tab w:val="num" w:pos="960"/>
        </w:tabs>
        <w:ind w:left="960" w:hanging="9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57E11F5E"/>
    <w:multiLevelType w:val="hybridMultilevel"/>
    <w:tmpl w:val="68D64C68"/>
    <w:lvl w:ilvl="0" w:tplc="AB3EF046">
      <w:start w:val="3"/>
      <w:numFmt w:val="taiwaneseCountingThousand"/>
      <w:lvlText w:val="第%1章"/>
      <w:lvlJc w:val="left"/>
      <w:pPr>
        <w:tabs>
          <w:tab w:val="num" w:pos="1678"/>
        </w:tabs>
        <w:ind w:left="1678" w:hanging="720"/>
      </w:pPr>
      <w:rPr>
        <w:rFonts w:cs="Times New Roman" w:hint="eastAsia"/>
      </w:rPr>
    </w:lvl>
    <w:lvl w:ilvl="1" w:tplc="04090019" w:tentative="1">
      <w:start w:val="1"/>
      <w:numFmt w:val="ideographTraditional"/>
      <w:lvlText w:val="%2、"/>
      <w:lvlJc w:val="left"/>
      <w:pPr>
        <w:tabs>
          <w:tab w:val="num" w:pos="1918"/>
        </w:tabs>
        <w:ind w:left="1918" w:hanging="480"/>
      </w:pPr>
      <w:rPr>
        <w:rFonts w:cs="Times New Roman"/>
      </w:rPr>
    </w:lvl>
    <w:lvl w:ilvl="2" w:tplc="0409001B" w:tentative="1">
      <w:start w:val="1"/>
      <w:numFmt w:val="lowerRoman"/>
      <w:lvlText w:val="%3."/>
      <w:lvlJc w:val="right"/>
      <w:pPr>
        <w:tabs>
          <w:tab w:val="num" w:pos="2398"/>
        </w:tabs>
        <w:ind w:left="2398" w:hanging="480"/>
      </w:pPr>
      <w:rPr>
        <w:rFonts w:cs="Times New Roman"/>
      </w:rPr>
    </w:lvl>
    <w:lvl w:ilvl="3" w:tplc="0409000F" w:tentative="1">
      <w:start w:val="1"/>
      <w:numFmt w:val="decimal"/>
      <w:lvlText w:val="%4."/>
      <w:lvlJc w:val="left"/>
      <w:pPr>
        <w:tabs>
          <w:tab w:val="num" w:pos="2878"/>
        </w:tabs>
        <w:ind w:left="2878" w:hanging="480"/>
      </w:pPr>
      <w:rPr>
        <w:rFonts w:cs="Times New Roman"/>
      </w:rPr>
    </w:lvl>
    <w:lvl w:ilvl="4" w:tplc="04090019" w:tentative="1">
      <w:start w:val="1"/>
      <w:numFmt w:val="ideographTraditional"/>
      <w:lvlText w:val="%5、"/>
      <w:lvlJc w:val="left"/>
      <w:pPr>
        <w:tabs>
          <w:tab w:val="num" w:pos="3358"/>
        </w:tabs>
        <w:ind w:left="3358" w:hanging="480"/>
      </w:pPr>
      <w:rPr>
        <w:rFonts w:cs="Times New Roman"/>
      </w:rPr>
    </w:lvl>
    <w:lvl w:ilvl="5" w:tplc="0409001B" w:tentative="1">
      <w:start w:val="1"/>
      <w:numFmt w:val="lowerRoman"/>
      <w:lvlText w:val="%6."/>
      <w:lvlJc w:val="right"/>
      <w:pPr>
        <w:tabs>
          <w:tab w:val="num" w:pos="3838"/>
        </w:tabs>
        <w:ind w:left="3838" w:hanging="480"/>
      </w:pPr>
      <w:rPr>
        <w:rFonts w:cs="Times New Roman"/>
      </w:rPr>
    </w:lvl>
    <w:lvl w:ilvl="6" w:tplc="0409000F" w:tentative="1">
      <w:start w:val="1"/>
      <w:numFmt w:val="decimal"/>
      <w:lvlText w:val="%7."/>
      <w:lvlJc w:val="left"/>
      <w:pPr>
        <w:tabs>
          <w:tab w:val="num" w:pos="4318"/>
        </w:tabs>
        <w:ind w:left="4318" w:hanging="480"/>
      </w:pPr>
      <w:rPr>
        <w:rFonts w:cs="Times New Roman"/>
      </w:rPr>
    </w:lvl>
    <w:lvl w:ilvl="7" w:tplc="04090019" w:tentative="1">
      <w:start w:val="1"/>
      <w:numFmt w:val="ideographTraditional"/>
      <w:lvlText w:val="%8、"/>
      <w:lvlJc w:val="left"/>
      <w:pPr>
        <w:tabs>
          <w:tab w:val="num" w:pos="4798"/>
        </w:tabs>
        <w:ind w:left="4798" w:hanging="480"/>
      </w:pPr>
      <w:rPr>
        <w:rFonts w:cs="Times New Roman"/>
      </w:rPr>
    </w:lvl>
    <w:lvl w:ilvl="8" w:tplc="0409001B" w:tentative="1">
      <w:start w:val="1"/>
      <w:numFmt w:val="lowerRoman"/>
      <w:lvlText w:val="%9."/>
      <w:lvlJc w:val="right"/>
      <w:pPr>
        <w:tabs>
          <w:tab w:val="num" w:pos="5278"/>
        </w:tabs>
        <w:ind w:left="5278" w:hanging="480"/>
      </w:pPr>
      <w:rPr>
        <w:rFonts w:cs="Times New Roman"/>
      </w:rPr>
    </w:lvl>
  </w:abstractNum>
  <w:abstractNum w:abstractNumId="11">
    <w:nsid w:val="5E21522C"/>
    <w:multiLevelType w:val="hybridMultilevel"/>
    <w:tmpl w:val="777E81A2"/>
    <w:lvl w:ilvl="0" w:tplc="EDEABCFA">
      <w:start w:val="7"/>
      <w:numFmt w:val="taiwaneseCountingThousand"/>
      <w:lvlText w:val="第%1章"/>
      <w:lvlJc w:val="left"/>
      <w:pPr>
        <w:tabs>
          <w:tab w:val="num" w:pos="960"/>
        </w:tabs>
        <w:ind w:left="960" w:hanging="9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06F4430"/>
    <w:multiLevelType w:val="hybridMultilevel"/>
    <w:tmpl w:val="E6504DFE"/>
    <w:lvl w:ilvl="0" w:tplc="004488CE">
      <w:start w:val="7"/>
      <w:numFmt w:val="taiwaneseCountingThousand"/>
      <w:lvlText w:val="第%1章"/>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3">
    <w:nsid w:val="62DA0FF4"/>
    <w:multiLevelType w:val="hybridMultilevel"/>
    <w:tmpl w:val="06AC45B4"/>
    <w:lvl w:ilvl="0" w:tplc="92A69002">
      <w:start w:val="4"/>
      <w:numFmt w:val="taiwaneseCountingThousand"/>
      <w:lvlText w:val="第%1章"/>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4">
    <w:nsid w:val="67A43FE3"/>
    <w:multiLevelType w:val="hybridMultilevel"/>
    <w:tmpl w:val="E92E1FBC"/>
    <w:lvl w:ilvl="0" w:tplc="F1A84A1E">
      <w:start w:val="3"/>
      <w:numFmt w:val="taiwaneseCountingThousand"/>
      <w:lvlText w:val="第%1章"/>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DF10140"/>
    <w:multiLevelType w:val="hybridMultilevel"/>
    <w:tmpl w:val="05FE4AD4"/>
    <w:lvl w:ilvl="0" w:tplc="026C3582">
      <w:start w:val="7"/>
      <w:numFmt w:val="taiwaneseCountingThousand"/>
      <w:lvlText w:val="第%1章"/>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9"/>
  </w:num>
  <w:num w:numId="2">
    <w:abstractNumId w:val="13"/>
  </w:num>
  <w:num w:numId="3">
    <w:abstractNumId w:val="3"/>
  </w:num>
  <w:num w:numId="4">
    <w:abstractNumId w:val="11"/>
  </w:num>
  <w:num w:numId="5">
    <w:abstractNumId w:val="8"/>
  </w:num>
  <w:num w:numId="6">
    <w:abstractNumId w:val="10"/>
  </w:num>
  <w:num w:numId="7">
    <w:abstractNumId w:val="6"/>
  </w:num>
  <w:num w:numId="8">
    <w:abstractNumId w:val="4"/>
  </w:num>
  <w:num w:numId="9">
    <w:abstractNumId w:val="5"/>
  </w:num>
  <w:num w:numId="10">
    <w:abstractNumId w:val="14"/>
  </w:num>
  <w:num w:numId="11">
    <w:abstractNumId w:val="15"/>
  </w:num>
  <w:num w:numId="12">
    <w:abstractNumId w:val="0"/>
  </w:num>
  <w:num w:numId="13">
    <w:abstractNumId w:val="12"/>
  </w:num>
  <w:num w:numId="14">
    <w:abstractNumId w:val="2"/>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1D4"/>
    <w:rsid w:val="00023C5B"/>
    <w:rsid w:val="00055752"/>
    <w:rsid w:val="00070AB9"/>
    <w:rsid w:val="000A21D4"/>
    <w:rsid w:val="000B047B"/>
    <w:rsid w:val="00100FB1"/>
    <w:rsid w:val="0010774B"/>
    <w:rsid w:val="001124BD"/>
    <w:rsid w:val="00135B29"/>
    <w:rsid w:val="00137F31"/>
    <w:rsid w:val="00162C5D"/>
    <w:rsid w:val="00163888"/>
    <w:rsid w:val="001704FA"/>
    <w:rsid w:val="00172D9F"/>
    <w:rsid w:val="001969F1"/>
    <w:rsid w:val="001D1897"/>
    <w:rsid w:val="001D6872"/>
    <w:rsid w:val="001F2493"/>
    <w:rsid w:val="001F72AE"/>
    <w:rsid w:val="0020108B"/>
    <w:rsid w:val="00223E0E"/>
    <w:rsid w:val="00231593"/>
    <w:rsid w:val="00234855"/>
    <w:rsid w:val="002357F9"/>
    <w:rsid w:val="00247F30"/>
    <w:rsid w:val="00261326"/>
    <w:rsid w:val="0027141A"/>
    <w:rsid w:val="00273F60"/>
    <w:rsid w:val="00277A84"/>
    <w:rsid w:val="00286BF5"/>
    <w:rsid w:val="002915EC"/>
    <w:rsid w:val="002C16EA"/>
    <w:rsid w:val="002C37E2"/>
    <w:rsid w:val="002C5C05"/>
    <w:rsid w:val="002C6B95"/>
    <w:rsid w:val="002F0018"/>
    <w:rsid w:val="00331792"/>
    <w:rsid w:val="00336ABF"/>
    <w:rsid w:val="0035373C"/>
    <w:rsid w:val="00373C01"/>
    <w:rsid w:val="00376E89"/>
    <w:rsid w:val="00397F0E"/>
    <w:rsid w:val="003C68E5"/>
    <w:rsid w:val="003D50D2"/>
    <w:rsid w:val="003D7E9C"/>
    <w:rsid w:val="003F4442"/>
    <w:rsid w:val="00431066"/>
    <w:rsid w:val="004322E6"/>
    <w:rsid w:val="00447EB6"/>
    <w:rsid w:val="00467CAF"/>
    <w:rsid w:val="00476498"/>
    <w:rsid w:val="004811EA"/>
    <w:rsid w:val="00492A63"/>
    <w:rsid w:val="004B2A44"/>
    <w:rsid w:val="004B7E05"/>
    <w:rsid w:val="004C107D"/>
    <w:rsid w:val="004D13B9"/>
    <w:rsid w:val="004D2809"/>
    <w:rsid w:val="004D2B7E"/>
    <w:rsid w:val="004F2866"/>
    <w:rsid w:val="00533249"/>
    <w:rsid w:val="005505B5"/>
    <w:rsid w:val="005544FE"/>
    <w:rsid w:val="00556040"/>
    <w:rsid w:val="0055610F"/>
    <w:rsid w:val="0056094F"/>
    <w:rsid w:val="005716A3"/>
    <w:rsid w:val="0057392E"/>
    <w:rsid w:val="005812BC"/>
    <w:rsid w:val="005A077F"/>
    <w:rsid w:val="005B223F"/>
    <w:rsid w:val="005D071E"/>
    <w:rsid w:val="005E03C8"/>
    <w:rsid w:val="006139A3"/>
    <w:rsid w:val="006205BF"/>
    <w:rsid w:val="0063214E"/>
    <w:rsid w:val="00657542"/>
    <w:rsid w:val="006F22D2"/>
    <w:rsid w:val="006F3B7F"/>
    <w:rsid w:val="006F48CA"/>
    <w:rsid w:val="006F68A0"/>
    <w:rsid w:val="007236FC"/>
    <w:rsid w:val="00735664"/>
    <w:rsid w:val="00742679"/>
    <w:rsid w:val="00750560"/>
    <w:rsid w:val="00751C2F"/>
    <w:rsid w:val="0075289F"/>
    <w:rsid w:val="00765739"/>
    <w:rsid w:val="00766862"/>
    <w:rsid w:val="007867E7"/>
    <w:rsid w:val="007C3367"/>
    <w:rsid w:val="007C6A6C"/>
    <w:rsid w:val="007D22B9"/>
    <w:rsid w:val="007E3802"/>
    <w:rsid w:val="0080242C"/>
    <w:rsid w:val="00813D29"/>
    <w:rsid w:val="00844291"/>
    <w:rsid w:val="00852669"/>
    <w:rsid w:val="00871096"/>
    <w:rsid w:val="008805EE"/>
    <w:rsid w:val="008873BB"/>
    <w:rsid w:val="00894C8E"/>
    <w:rsid w:val="008A7550"/>
    <w:rsid w:val="008B2673"/>
    <w:rsid w:val="008B397B"/>
    <w:rsid w:val="008C1D11"/>
    <w:rsid w:val="008D3715"/>
    <w:rsid w:val="008E0B92"/>
    <w:rsid w:val="008F22F1"/>
    <w:rsid w:val="00913359"/>
    <w:rsid w:val="00940009"/>
    <w:rsid w:val="009413FC"/>
    <w:rsid w:val="00945730"/>
    <w:rsid w:val="00945AA0"/>
    <w:rsid w:val="00946A2F"/>
    <w:rsid w:val="00960D51"/>
    <w:rsid w:val="00991933"/>
    <w:rsid w:val="009956E5"/>
    <w:rsid w:val="009972F1"/>
    <w:rsid w:val="009B3D2C"/>
    <w:rsid w:val="00A12FC4"/>
    <w:rsid w:val="00A16A88"/>
    <w:rsid w:val="00A27F3E"/>
    <w:rsid w:val="00A3565A"/>
    <w:rsid w:val="00A3604B"/>
    <w:rsid w:val="00A4424E"/>
    <w:rsid w:val="00A448D0"/>
    <w:rsid w:val="00A467CB"/>
    <w:rsid w:val="00A47024"/>
    <w:rsid w:val="00A515B4"/>
    <w:rsid w:val="00A56541"/>
    <w:rsid w:val="00A75417"/>
    <w:rsid w:val="00A827E6"/>
    <w:rsid w:val="00AA0202"/>
    <w:rsid w:val="00AB04F8"/>
    <w:rsid w:val="00AD2129"/>
    <w:rsid w:val="00AF4D12"/>
    <w:rsid w:val="00AF6507"/>
    <w:rsid w:val="00B03109"/>
    <w:rsid w:val="00B12E1E"/>
    <w:rsid w:val="00B16B57"/>
    <w:rsid w:val="00B21030"/>
    <w:rsid w:val="00B4509B"/>
    <w:rsid w:val="00B84B47"/>
    <w:rsid w:val="00B871A2"/>
    <w:rsid w:val="00B87C4D"/>
    <w:rsid w:val="00BA048F"/>
    <w:rsid w:val="00BB25C0"/>
    <w:rsid w:val="00BB3670"/>
    <w:rsid w:val="00BF3875"/>
    <w:rsid w:val="00BF44E8"/>
    <w:rsid w:val="00C32A4B"/>
    <w:rsid w:val="00C54CEE"/>
    <w:rsid w:val="00C571C7"/>
    <w:rsid w:val="00C65CB9"/>
    <w:rsid w:val="00C70C24"/>
    <w:rsid w:val="00C8387D"/>
    <w:rsid w:val="00C95A8F"/>
    <w:rsid w:val="00C976C0"/>
    <w:rsid w:val="00CE2BF4"/>
    <w:rsid w:val="00CF2A5D"/>
    <w:rsid w:val="00CF2D65"/>
    <w:rsid w:val="00D174A7"/>
    <w:rsid w:val="00D24432"/>
    <w:rsid w:val="00D263B9"/>
    <w:rsid w:val="00D27679"/>
    <w:rsid w:val="00D27985"/>
    <w:rsid w:val="00D30139"/>
    <w:rsid w:val="00D31ECC"/>
    <w:rsid w:val="00D34646"/>
    <w:rsid w:val="00D512BA"/>
    <w:rsid w:val="00D74ECE"/>
    <w:rsid w:val="00D93951"/>
    <w:rsid w:val="00DB5AE4"/>
    <w:rsid w:val="00DE1646"/>
    <w:rsid w:val="00DE442B"/>
    <w:rsid w:val="00DF7800"/>
    <w:rsid w:val="00E06C98"/>
    <w:rsid w:val="00E52000"/>
    <w:rsid w:val="00E52099"/>
    <w:rsid w:val="00E5413C"/>
    <w:rsid w:val="00E56465"/>
    <w:rsid w:val="00E57177"/>
    <w:rsid w:val="00E663CF"/>
    <w:rsid w:val="00E8556D"/>
    <w:rsid w:val="00E8783C"/>
    <w:rsid w:val="00E94A25"/>
    <w:rsid w:val="00F034B6"/>
    <w:rsid w:val="00F06135"/>
    <w:rsid w:val="00F10FBB"/>
    <w:rsid w:val="00F26873"/>
    <w:rsid w:val="00F53681"/>
    <w:rsid w:val="00F5772C"/>
    <w:rsid w:val="00F61575"/>
    <w:rsid w:val="00F6648F"/>
    <w:rsid w:val="00F66A6E"/>
    <w:rsid w:val="00F76DE6"/>
    <w:rsid w:val="00F823AE"/>
    <w:rsid w:val="00FA1315"/>
    <w:rsid w:val="00FB2C5D"/>
    <w:rsid w:val="00FC73B7"/>
    <w:rsid w:val="00FE33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4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3604B"/>
    <w:pPr>
      <w:spacing w:line="300" w:lineRule="exact"/>
      <w:ind w:leftChars="136" w:left="1228" w:hangingChars="322" w:hanging="902"/>
    </w:pPr>
    <w:rPr>
      <w:rFonts w:ascii="標楷體" w:eastAsia="標楷體" w:hAnsi="標楷體"/>
      <w:sz w:val="28"/>
    </w:rPr>
  </w:style>
  <w:style w:type="character" w:customStyle="1" w:styleId="BodyTextIndentChar">
    <w:name w:val="Body Text Indent Char"/>
    <w:basedOn w:val="DefaultParagraphFont"/>
    <w:link w:val="BodyTextIndent"/>
    <w:uiPriority w:val="99"/>
    <w:semiHidden/>
    <w:rsid w:val="003964D1"/>
    <w:rPr>
      <w:szCs w:val="24"/>
    </w:rPr>
  </w:style>
  <w:style w:type="paragraph" w:styleId="BodyTextIndent2">
    <w:name w:val="Body Text Indent 2"/>
    <w:basedOn w:val="Normal"/>
    <w:link w:val="BodyTextIndent2Char"/>
    <w:uiPriority w:val="99"/>
    <w:rsid w:val="00A3604B"/>
    <w:pPr>
      <w:spacing w:line="300" w:lineRule="exact"/>
      <w:ind w:leftChars="136" w:left="866" w:hangingChars="193" w:hanging="540"/>
      <w:jc w:val="both"/>
    </w:pPr>
    <w:rPr>
      <w:rFonts w:ascii="標楷體" w:eastAsia="標楷體" w:hAnsi="標楷體"/>
      <w:sz w:val="28"/>
    </w:rPr>
  </w:style>
  <w:style w:type="character" w:customStyle="1" w:styleId="BodyTextIndent2Char">
    <w:name w:val="Body Text Indent 2 Char"/>
    <w:basedOn w:val="DefaultParagraphFont"/>
    <w:link w:val="BodyTextIndent2"/>
    <w:uiPriority w:val="99"/>
    <w:semiHidden/>
    <w:rsid w:val="003964D1"/>
    <w:rPr>
      <w:szCs w:val="24"/>
    </w:rPr>
  </w:style>
  <w:style w:type="paragraph" w:styleId="BodyTextIndent3">
    <w:name w:val="Body Text Indent 3"/>
    <w:basedOn w:val="Normal"/>
    <w:link w:val="BodyTextIndent3Char"/>
    <w:uiPriority w:val="99"/>
    <w:rsid w:val="00A3604B"/>
    <w:pPr>
      <w:spacing w:line="300" w:lineRule="exact"/>
      <w:ind w:left="843" w:hangingChars="301" w:hanging="843"/>
      <w:jc w:val="both"/>
    </w:pPr>
    <w:rPr>
      <w:rFonts w:ascii="標楷體" w:eastAsia="標楷體" w:hAnsi="標楷體"/>
      <w:sz w:val="28"/>
    </w:rPr>
  </w:style>
  <w:style w:type="character" w:customStyle="1" w:styleId="BodyTextIndent3Char">
    <w:name w:val="Body Text Indent 3 Char"/>
    <w:basedOn w:val="DefaultParagraphFont"/>
    <w:link w:val="BodyTextIndent3"/>
    <w:uiPriority w:val="99"/>
    <w:semiHidden/>
    <w:rsid w:val="003964D1"/>
    <w:rPr>
      <w:sz w:val="16"/>
      <w:szCs w:val="16"/>
    </w:rPr>
  </w:style>
  <w:style w:type="paragraph" w:styleId="PlainText">
    <w:name w:val="Plain Text"/>
    <w:basedOn w:val="Normal"/>
    <w:link w:val="PlainTextChar"/>
    <w:uiPriority w:val="99"/>
    <w:rsid w:val="00A3604B"/>
    <w:rPr>
      <w:rFonts w:ascii="細明體" w:eastAsia="細明體" w:hAnsi="Courier New"/>
      <w:szCs w:val="20"/>
    </w:rPr>
  </w:style>
  <w:style w:type="character" w:customStyle="1" w:styleId="PlainTextChar">
    <w:name w:val="Plain Text Char"/>
    <w:basedOn w:val="DefaultParagraphFont"/>
    <w:link w:val="PlainText"/>
    <w:uiPriority w:val="99"/>
    <w:locked/>
    <w:rsid w:val="006139A3"/>
    <w:rPr>
      <w:rFonts w:ascii="細明體" w:eastAsia="細明體" w:hAnsi="Courier New" w:cs="Times New Roman"/>
      <w:kern w:val="2"/>
      <w:sz w:val="24"/>
    </w:rPr>
  </w:style>
  <w:style w:type="paragraph" w:customStyle="1" w:styleId="a">
    <w:name w:val="(四)"/>
    <w:basedOn w:val="BodyTextIndent"/>
    <w:uiPriority w:val="99"/>
    <w:rsid w:val="00A3604B"/>
    <w:pPr>
      <w:spacing w:line="400" w:lineRule="exact"/>
      <w:ind w:leftChars="102" w:left="718" w:hangingChars="169" w:hanging="473"/>
      <w:jc w:val="both"/>
    </w:pPr>
  </w:style>
  <w:style w:type="paragraph" w:styleId="Footer">
    <w:name w:val="footer"/>
    <w:basedOn w:val="Normal"/>
    <w:link w:val="FooterChar"/>
    <w:uiPriority w:val="99"/>
    <w:rsid w:val="00A3604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3964D1"/>
    <w:rPr>
      <w:sz w:val="20"/>
      <w:szCs w:val="20"/>
    </w:rPr>
  </w:style>
  <w:style w:type="character" w:styleId="PageNumber">
    <w:name w:val="page number"/>
    <w:basedOn w:val="DefaultParagraphFont"/>
    <w:uiPriority w:val="99"/>
    <w:rsid w:val="00A3604B"/>
    <w:rPr>
      <w:rFonts w:cs="Times New Roman"/>
    </w:rPr>
  </w:style>
  <w:style w:type="paragraph" w:styleId="Header">
    <w:name w:val="header"/>
    <w:basedOn w:val="Normal"/>
    <w:link w:val="HeaderChar"/>
    <w:uiPriority w:val="99"/>
    <w:rsid w:val="00DE442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964D1"/>
    <w:rPr>
      <w:sz w:val="20"/>
      <w:szCs w:val="20"/>
    </w:rPr>
  </w:style>
  <w:style w:type="paragraph" w:styleId="ListParagraph">
    <w:name w:val="List Paragraph"/>
    <w:basedOn w:val="Normal"/>
    <w:uiPriority w:val="99"/>
    <w:qFormat/>
    <w:rsid w:val="00B4509B"/>
    <w:pPr>
      <w:ind w:leftChars="200" w:left="480"/>
    </w:pPr>
  </w:style>
  <w:style w:type="numbering" w:customStyle="1" w:styleId="1">
    <w:name w:val="樣式1"/>
    <w:rsid w:val="003964D1"/>
    <w:pPr>
      <w:numPr>
        <w:numId w:val="1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849</Words>
  <Characters>4845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「事務管理手冊」出納管理部分規定修正草案</dc:title>
  <dc:subject/>
  <dc:creator>張麗惠</dc:creator>
  <cp:keywords/>
  <dc:description/>
  <cp:lastModifiedBy>user</cp:lastModifiedBy>
  <cp:revision>2</cp:revision>
  <cp:lastPrinted>2016-11-02T07:06:00Z</cp:lastPrinted>
  <dcterms:created xsi:type="dcterms:W3CDTF">2016-11-22T08:37:00Z</dcterms:created>
  <dcterms:modified xsi:type="dcterms:W3CDTF">2016-11-22T08:37:00Z</dcterms:modified>
</cp:coreProperties>
</file>